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89712" w14:textId="44BB7C46"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7730BD">
        <w:t>2</w:t>
      </w:r>
      <w:r w:rsidRPr="00CE0424">
        <w:t xml:space="preserve"> #</w:t>
      </w:r>
      <w:r w:rsidR="00AE3743">
        <w:t>97bis</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0039F4">
        <w:rPr>
          <w:sz w:val="32"/>
          <w:szCs w:val="32"/>
        </w:rPr>
        <w:t>7</w:t>
      </w:r>
      <w:r w:rsidR="009608ED">
        <w:rPr>
          <w:sz w:val="32"/>
          <w:szCs w:val="32"/>
        </w:rPr>
        <w:t>0</w:t>
      </w:r>
      <w:r w:rsidR="009608ED" w:rsidRPr="009608ED">
        <w:rPr>
          <w:sz w:val="32"/>
          <w:szCs w:val="32"/>
        </w:rPr>
        <w:t>2705</w:t>
      </w:r>
    </w:p>
    <w:p w14:paraId="5D18802E" w14:textId="7607904D" w:rsidR="00E90E49" w:rsidRPr="00CE0424" w:rsidRDefault="00AE3743" w:rsidP="00311702">
      <w:pPr>
        <w:pStyle w:val="3GPPHeader"/>
      </w:pPr>
      <w:r>
        <w:t>Spokane, USA, 3</w:t>
      </w:r>
      <w:r w:rsidRPr="00AE3743">
        <w:rPr>
          <w:vertAlign w:val="superscript"/>
        </w:rPr>
        <w:t>rd</w:t>
      </w:r>
      <w:r>
        <w:t xml:space="preserve"> – 7</w:t>
      </w:r>
      <w:r w:rsidRPr="00AE3743">
        <w:rPr>
          <w:vertAlign w:val="superscript"/>
        </w:rPr>
        <w:t>th</w:t>
      </w:r>
      <w:r>
        <w:t xml:space="preserve"> April 2017</w:t>
      </w:r>
    </w:p>
    <w:p w14:paraId="0FFA3B1B" w14:textId="77777777" w:rsidR="00E90E49" w:rsidRPr="00CE0424" w:rsidRDefault="00E90E49" w:rsidP="00357380">
      <w:pPr>
        <w:pStyle w:val="3GPPHeader"/>
      </w:pPr>
    </w:p>
    <w:p w14:paraId="0DBA3ED9" w14:textId="7AAA3B92"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D362AC" w:rsidRPr="009608ED">
        <w:rPr>
          <w:sz w:val="22"/>
          <w:szCs w:val="22"/>
          <w:lang w:val="sv-SE"/>
        </w:rPr>
        <w:t>10.2.2.2</w:t>
      </w:r>
    </w:p>
    <w:p w14:paraId="3D09BB9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96F3307" w14:textId="539EC83D" w:rsidR="00E90E49" w:rsidRPr="00CE0424" w:rsidRDefault="003D3C45" w:rsidP="00311702">
      <w:pPr>
        <w:pStyle w:val="3GPPHeader"/>
        <w:rPr>
          <w:sz w:val="22"/>
          <w:szCs w:val="22"/>
        </w:rPr>
      </w:pPr>
      <w:r>
        <w:rPr>
          <w:sz w:val="22"/>
          <w:szCs w:val="22"/>
        </w:rPr>
        <w:t>Title:</w:t>
      </w:r>
      <w:r w:rsidR="00E90E49" w:rsidRPr="00CE0424">
        <w:rPr>
          <w:sz w:val="22"/>
          <w:szCs w:val="22"/>
        </w:rPr>
        <w:tab/>
      </w:r>
      <w:r w:rsidR="005B591A" w:rsidRPr="005B591A">
        <w:rPr>
          <w:sz w:val="22"/>
          <w:szCs w:val="22"/>
        </w:rPr>
        <w:t xml:space="preserve">SCG SRB </w:t>
      </w:r>
      <w:r w:rsidR="00D362AC">
        <w:rPr>
          <w:sz w:val="22"/>
          <w:szCs w:val="22"/>
        </w:rPr>
        <w:t xml:space="preserve">configuration and use </w:t>
      </w:r>
      <w:r w:rsidR="005B591A" w:rsidRPr="005B591A">
        <w:rPr>
          <w:sz w:val="22"/>
          <w:szCs w:val="22"/>
        </w:rPr>
        <w:t>in LTE-NR interworking</w:t>
      </w:r>
    </w:p>
    <w:p w14:paraId="7A0567D6"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E637E7">
        <w:rPr>
          <w:sz w:val="22"/>
          <w:szCs w:val="22"/>
        </w:rPr>
        <w:t>Discussion, Decision</w:t>
      </w:r>
    </w:p>
    <w:p w14:paraId="3C6D63D8" w14:textId="77777777" w:rsidR="00E90E49" w:rsidRPr="00CE0424" w:rsidRDefault="00E90E49" w:rsidP="00E90E49"/>
    <w:p w14:paraId="4B9C2CE9" w14:textId="77777777" w:rsidR="00E90E49" w:rsidRPr="00CE0424" w:rsidRDefault="00E90E49" w:rsidP="00CE0424">
      <w:pPr>
        <w:pStyle w:val="Heading1"/>
      </w:pPr>
      <w:r w:rsidRPr="00CE0424">
        <w:t>Introduction</w:t>
      </w:r>
    </w:p>
    <w:p w14:paraId="34A20010" w14:textId="1A3177B3" w:rsidR="005B591A" w:rsidRDefault="00BD121B" w:rsidP="00CE0424">
      <w:pPr>
        <w:pStyle w:val="BodyText"/>
      </w:pPr>
      <w:r>
        <w:t>In RAN2#97, it was agreed that for the SN/MN RRC reconfiguration requiring also MN/SN RRC reconfiguration, a MN RRC message with an embedded SN RRC message is delivered via MCG SRB. On top of the MCG SRB, it was also agreed that the UE can be configured with an SCG SRB to allow SN RRC messages to be sent directly between UE and SN. The SCG SRB could be used by SN RRC reconfigurations not requiring any coordination with MN.</w:t>
      </w:r>
    </w:p>
    <w:p w14:paraId="36235ADF" w14:textId="22FCE736" w:rsidR="005B591A" w:rsidRDefault="005B591A" w:rsidP="00CE0424">
      <w:pPr>
        <w:pStyle w:val="BodyText"/>
      </w:pPr>
      <w:r>
        <w:t xml:space="preserve">In this paper, we </w:t>
      </w:r>
      <w:r w:rsidR="00BD121B">
        <w:t>further discuss the use and co</w:t>
      </w:r>
      <w:r w:rsidR="00B4109C">
        <w:t>nfiguration of the new SCG SRB, e.g.</w:t>
      </w:r>
    </w:p>
    <w:p w14:paraId="239ABB3E" w14:textId="7A062E62" w:rsidR="00AD415A" w:rsidRDefault="00AD415A" w:rsidP="00AD415A">
      <w:pPr>
        <w:pStyle w:val="BodyText"/>
        <w:numPr>
          <w:ilvl w:val="0"/>
          <w:numId w:val="15"/>
        </w:numPr>
      </w:pPr>
      <w:r>
        <w:t>Configurability of MCG and SCG SRB</w:t>
      </w:r>
    </w:p>
    <w:p w14:paraId="0C2E3558" w14:textId="7F80B016" w:rsidR="005B591A" w:rsidRDefault="00C24345" w:rsidP="005B591A">
      <w:pPr>
        <w:pStyle w:val="BodyText"/>
        <w:numPr>
          <w:ilvl w:val="0"/>
          <w:numId w:val="15"/>
        </w:numPr>
      </w:pPr>
      <w:r>
        <w:t>Configuration of SCG SRB (by MN or SN)</w:t>
      </w:r>
    </w:p>
    <w:p w14:paraId="4AF328D1" w14:textId="55BA4BE3" w:rsidR="00D9104C" w:rsidRDefault="00C24345" w:rsidP="00D9104C">
      <w:pPr>
        <w:pStyle w:val="BodyText"/>
        <w:numPr>
          <w:ilvl w:val="0"/>
          <w:numId w:val="15"/>
        </w:numPr>
      </w:pPr>
      <w:r>
        <w:t xml:space="preserve">Mapping of </w:t>
      </w:r>
      <w:r w:rsidR="00B4109C">
        <w:t xml:space="preserve">MN and SN </w:t>
      </w:r>
      <w:r>
        <w:t>RRC messages on SCG SRB and MCG SRB</w:t>
      </w:r>
    </w:p>
    <w:p w14:paraId="66FE1ECD" w14:textId="674D7C59" w:rsidR="00D9104C" w:rsidRPr="00CE0424" w:rsidRDefault="00D9104C" w:rsidP="00E637E7">
      <w:pPr>
        <w:pStyle w:val="BodyText"/>
      </w:pPr>
      <w:r>
        <w:t>The scope of this contribution is option 3, where MN is LTE and SN is NR.</w:t>
      </w:r>
    </w:p>
    <w:p w14:paraId="1086C867" w14:textId="79E9BC52" w:rsidR="004000E8" w:rsidRDefault="004000E8" w:rsidP="00CE0424">
      <w:pPr>
        <w:pStyle w:val="Heading1"/>
      </w:pPr>
      <w:bookmarkStart w:id="1" w:name="_Ref178064866"/>
      <w:r w:rsidRPr="00CE0424">
        <w:t>Discussion</w:t>
      </w:r>
      <w:bookmarkEnd w:id="1"/>
    </w:p>
    <w:p w14:paraId="4BDBDBE6" w14:textId="7235278F" w:rsidR="00CF68EE" w:rsidRDefault="00CF68EE" w:rsidP="00CF68EE">
      <w:pPr>
        <w:pStyle w:val="Heading2"/>
      </w:pPr>
      <w:r>
        <w:t>SCG SRB configuration</w:t>
      </w:r>
    </w:p>
    <w:p w14:paraId="7C3B9FBE" w14:textId="73130FE6" w:rsidR="00D10283" w:rsidRPr="00D10283" w:rsidRDefault="00D10283" w:rsidP="00D10283">
      <w:r>
        <w:t xml:space="preserve">As agreed during RAN2#97, </w:t>
      </w:r>
      <w:r w:rsidR="00E45743">
        <w:t xml:space="preserve">for SN/MN RRC reconfiguration requiring also MN/SN RRC reconfiguration, a MN RRC message with an embedded SN RRC message. The MCG SRB is needed for these reconfigurations. </w:t>
      </w:r>
      <w:r w:rsidR="001D0426">
        <w:t xml:space="preserve">It has also been agreed that the </w:t>
      </w:r>
      <w:r w:rsidR="00E637E7">
        <w:t xml:space="preserve">UE </w:t>
      </w:r>
      <w:r w:rsidR="001D0426">
        <w:t>should keep a single RRC state, controlled by the MN. For these reason, an MCG SRB will always be configured.</w:t>
      </w:r>
    </w:p>
    <w:p w14:paraId="639532C0" w14:textId="209EBAED" w:rsidR="00D10283" w:rsidRDefault="00D10283" w:rsidP="00D10283">
      <w:pPr>
        <w:pStyle w:val="Observation"/>
      </w:pPr>
      <w:r>
        <w:t>MCG SRB is needed for</w:t>
      </w:r>
      <w:r w:rsidR="001D0426">
        <w:t xml:space="preserve"> state transitions and</w:t>
      </w:r>
      <w:r>
        <w:t xml:space="preserve"> (re-)configurations involving both MN and SN</w:t>
      </w:r>
      <w:r w:rsidR="00E45743">
        <w:t>.</w:t>
      </w:r>
    </w:p>
    <w:p w14:paraId="3ADE9025" w14:textId="3CF15E0A" w:rsidR="00D10283" w:rsidRDefault="00E45743" w:rsidP="00D10283">
      <w:r>
        <w:t xml:space="preserve">On top of the MCG SRB, the network can also configure an SCG SRB, to allow direct transmission of SN RRC between the SN and the UE. We note that the latency gains of having SCG SRB directly between SN and UE is only true is some deployments, namely where MN and SN are non-co-located. In </w:t>
      </w:r>
      <w:r w:rsidR="00D10283">
        <w:t>co-</w:t>
      </w:r>
      <w:r>
        <w:t>located</w:t>
      </w:r>
      <w:r w:rsidR="00D10283">
        <w:t xml:space="preserve"> deployments there is no need for SCG SRB. </w:t>
      </w:r>
    </w:p>
    <w:p w14:paraId="031C8749" w14:textId="1834FD0C" w:rsidR="00D10283" w:rsidRPr="00D10283" w:rsidRDefault="00D10283" w:rsidP="00D10283">
      <w:pPr>
        <w:pStyle w:val="Observation"/>
      </w:pPr>
      <w:r>
        <w:t>In network deployments where MN and SN are co-located, there is no gain of SCG SRB</w:t>
      </w:r>
      <w:r w:rsidR="00E45743">
        <w:t>.</w:t>
      </w:r>
    </w:p>
    <w:p w14:paraId="7C6F7A08" w14:textId="16F62499" w:rsidR="00E45743" w:rsidRDefault="00E45743" w:rsidP="00A04F49">
      <w:pPr>
        <w:pStyle w:val="Proposal"/>
      </w:pPr>
      <w:bookmarkStart w:id="2" w:name="_Toc477470451"/>
      <w:bookmarkStart w:id="3" w:name="_Toc477861335"/>
      <w:bookmarkStart w:id="4" w:name="_Toc477870612"/>
      <w:bookmarkStart w:id="5" w:name="_Toc477985720"/>
      <w:bookmarkStart w:id="6" w:name="_Toc478067922"/>
      <w:bookmarkStart w:id="7" w:name="_Toc478069015"/>
      <w:bookmarkStart w:id="8" w:name="_Toc478069043"/>
      <w:bookmarkStart w:id="9" w:name="_Toc347823621"/>
      <w:bookmarkStart w:id="10" w:name="_Toc347824073"/>
      <w:bookmarkStart w:id="11" w:name="_Toc347824246"/>
      <w:bookmarkStart w:id="12" w:name="_Toc477332734"/>
      <w:bookmarkStart w:id="13" w:name="_Toc477461231"/>
      <w:bookmarkStart w:id="14" w:name="_Toc478169468"/>
      <w:r>
        <w:t xml:space="preserve">MCG SRB </w:t>
      </w:r>
      <w:r w:rsidR="00883045">
        <w:t xml:space="preserve">is always </w:t>
      </w:r>
      <w:r w:rsidR="001D0426">
        <w:t>configured</w:t>
      </w:r>
      <w:r>
        <w:t>.</w:t>
      </w:r>
      <w:bookmarkEnd w:id="2"/>
      <w:bookmarkEnd w:id="3"/>
      <w:bookmarkEnd w:id="4"/>
      <w:bookmarkEnd w:id="5"/>
      <w:bookmarkEnd w:id="6"/>
      <w:bookmarkEnd w:id="7"/>
      <w:bookmarkEnd w:id="8"/>
      <w:bookmarkEnd w:id="14"/>
    </w:p>
    <w:p w14:paraId="5724CB63" w14:textId="0E16B057" w:rsidR="00287838" w:rsidRDefault="00E45743" w:rsidP="00A04F49">
      <w:pPr>
        <w:pStyle w:val="Proposal"/>
      </w:pPr>
      <w:bookmarkStart w:id="15" w:name="_Toc477470452"/>
      <w:bookmarkStart w:id="16" w:name="_Toc477861336"/>
      <w:bookmarkStart w:id="17" w:name="_Toc477870613"/>
      <w:bookmarkStart w:id="18" w:name="_Toc477985721"/>
      <w:bookmarkStart w:id="19" w:name="_Toc478067923"/>
      <w:bookmarkStart w:id="20" w:name="_Toc478069016"/>
      <w:bookmarkStart w:id="21" w:name="_Toc478069044"/>
      <w:bookmarkStart w:id="22" w:name="_Toc478169469"/>
      <w:r>
        <w:t xml:space="preserve">SCG SRB </w:t>
      </w:r>
      <w:r w:rsidR="00883045">
        <w:t xml:space="preserve">can be configured based on </w:t>
      </w:r>
      <w:r>
        <w:t xml:space="preserve">network </w:t>
      </w:r>
      <w:bookmarkEnd w:id="9"/>
      <w:bookmarkEnd w:id="10"/>
      <w:bookmarkEnd w:id="11"/>
      <w:bookmarkEnd w:id="12"/>
      <w:bookmarkEnd w:id="13"/>
      <w:r w:rsidR="00883045">
        <w:t>decision</w:t>
      </w:r>
      <w:r>
        <w:t>.</w:t>
      </w:r>
      <w:bookmarkEnd w:id="15"/>
      <w:bookmarkEnd w:id="16"/>
      <w:bookmarkEnd w:id="17"/>
      <w:bookmarkEnd w:id="18"/>
      <w:bookmarkEnd w:id="19"/>
      <w:bookmarkEnd w:id="20"/>
      <w:bookmarkEnd w:id="21"/>
      <w:bookmarkEnd w:id="22"/>
    </w:p>
    <w:p w14:paraId="771C740A" w14:textId="021A1D0E" w:rsidR="00CF68EE" w:rsidRDefault="00CF68EE" w:rsidP="00CF68EE">
      <w:pPr>
        <w:pStyle w:val="BodyText"/>
      </w:pPr>
    </w:p>
    <w:p w14:paraId="3ED9630D" w14:textId="21829786" w:rsidR="00AD415A" w:rsidRDefault="002C4D52" w:rsidP="00CF68EE">
      <w:pPr>
        <w:pStyle w:val="BodyText"/>
      </w:pPr>
      <w:r>
        <w:t xml:space="preserve">The configuration of SCG SRB could follow similar principle as configuration of SCG DRB in LTE DC. </w:t>
      </w:r>
      <w:r w:rsidR="00D9104C">
        <w:t>In LTE DC, MeNB</w:t>
      </w:r>
      <w:r w:rsidR="00A63A7A">
        <w:t xml:space="preserve"> decides the addition and</w:t>
      </w:r>
      <w:r w:rsidR="00D9104C">
        <w:t xml:space="preserve"> requests the setup of </w:t>
      </w:r>
      <w:r w:rsidR="00A63A7A">
        <w:t xml:space="preserve">SCG </w:t>
      </w:r>
      <w:r w:rsidR="00D9104C">
        <w:t>DRBs from SeNB by forwarding</w:t>
      </w:r>
      <w:r w:rsidR="00F8382D">
        <w:t xml:space="preserve"> </w:t>
      </w:r>
      <w:r w:rsidR="00F8382D" w:rsidRPr="00F8382D">
        <w:rPr>
          <w:i/>
          <w:snapToGrid w:val="0"/>
        </w:rPr>
        <w:t>DRB-</w:t>
      </w:r>
      <w:r w:rsidR="00F8382D" w:rsidRPr="00F8382D">
        <w:rPr>
          <w:i/>
          <w:snapToGrid w:val="0"/>
        </w:rPr>
        <w:lastRenderedPageBreak/>
        <w:t>InfoSCG-r12</w:t>
      </w:r>
      <w:r w:rsidR="00F8382D">
        <w:rPr>
          <w:snapToGrid w:val="0"/>
        </w:rPr>
        <w:t xml:space="preserve"> in</w:t>
      </w:r>
      <w:r w:rsidR="00D9104C">
        <w:t xml:space="preserve"> </w:t>
      </w:r>
      <w:r w:rsidR="00D9104C" w:rsidRPr="00626CC4">
        <w:rPr>
          <w:i/>
        </w:rPr>
        <w:t>drb-ToAddModListSCG</w:t>
      </w:r>
      <w:r w:rsidR="00D9104C">
        <w:rPr>
          <w:i/>
        </w:rPr>
        <w:t xml:space="preserve"> </w:t>
      </w:r>
      <w:r w:rsidR="00D9104C">
        <w:t xml:space="preserve">in </w:t>
      </w:r>
      <w:r w:rsidR="00A63A7A">
        <w:t xml:space="preserve">internode message </w:t>
      </w:r>
      <w:r w:rsidR="00A63A7A" w:rsidRPr="00F8382D">
        <w:rPr>
          <w:i/>
        </w:rPr>
        <w:t>SCG-ConfigInfo</w:t>
      </w:r>
      <w:r w:rsidR="00A63A7A">
        <w:t>. The SeNB then provides the SCG DRB configuration in</w:t>
      </w:r>
      <w:r w:rsidR="00F8382D">
        <w:t xml:space="preserve"> </w:t>
      </w:r>
      <w:r w:rsidR="00F8382D" w:rsidRPr="003F6F94">
        <w:rPr>
          <w:i/>
          <w:snapToGrid w:val="0"/>
        </w:rPr>
        <w:t>DRB-ToAddMod</w:t>
      </w:r>
      <w:r w:rsidR="00F8382D">
        <w:rPr>
          <w:snapToGrid w:val="0"/>
        </w:rPr>
        <w:t xml:space="preserve"> in </w:t>
      </w:r>
      <w:r w:rsidR="00F8382D" w:rsidRPr="00626CC4">
        <w:rPr>
          <w:i/>
        </w:rPr>
        <w:t>drb-ToAddModListSCG</w:t>
      </w:r>
      <w:r w:rsidR="00F8382D">
        <w:rPr>
          <w:i/>
        </w:rPr>
        <w:t xml:space="preserve"> </w:t>
      </w:r>
      <w:r w:rsidR="00F8382D" w:rsidRPr="003F6F94">
        <w:t>of</w:t>
      </w:r>
      <w:r w:rsidR="00F8382D">
        <w:rPr>
          <w:snapToGrid w:val="0"/>
        </w:rPr>
        <w:t xml:space="preserve"> </w:t>
      </w:r>
      <w:r w:rsidR="00A63A7A" w:rsidRPr="00F8382D">
        <w:rPr>
          <w:i/>
        </w:rPr>
        <w:t>SCG-Config</w:t>
      </w:r>
      <w:r w:rsidR="00A63A7A">
        <w:t xml:space="preserve">. Similarly, for the SCG SRB, a new IE </w:t>
      </w:r>
      <w:r w:rsidR="00A63A7A">
        <w:rPr>
          <w:i/>
        </w:rPr>
        <w:t>s</w:t>
      </w:r>
      <w:r w:rsidR="00A63A7A" w:rsidRPr="00EB2E86">
        <w:rPr>
          <w:i/>
        </w:rPr>
        <w:t>rb-ToAddModListSCG</w:t>
      </w:r>
      <w:r w:rsidR="00A63A7A">
        <w:rPr>
          <w:i/>
        </w:rPr>
        <w:t xml:space="preserve"> </w:t>
      </w:r>
      <w:r w:rsidR="00A63A7A">
        <w:t>could be defined, where MN requests the setup of SCG SRB</w:t>
      </w:r>
      <w:r w:rsidR="00F8382D">
        <w:t xml:space="preserve"> and SN responds with the selected SRG SRB configuration. So, MN requests setup of SCG SRB and SN provides the configuration in NR RRC.</w:t>
      </w:r>
      <w:r w:rsidR="003F6F94">
        <w:t xml:space="preserve"> </w:t>
      </w:r>
      <w:r w:rsidR="00AD415A">
        <w:t>For EN-DC, the SCG SRB will compose of NR PDCP, RLC, MAC and L1</w:t>
      </w:r>
      <w:r w:rsidR="000D0280">
        <w:t>, see figure</w:t>
      </w:r>
      <w:r w:rsidR="00AD415A">
        <w:t>. Thus, it makes sense that the configuration is made using NR RRC from the secondary node.</w:t>
      </w:r>
    </w:p>
    <w:p w14:paraId="07747035" w14:textId="330ED400" w:rsidR="00D9104C" w:rsidRDefault="00D9104C" w:rsidP="00AD415A">
      <w:pPr>
        <w:pStyle w:val="Proposal"/>
      </w:pPr>
      <w:bookmarkStart w:id="23" w:name="_Toc477985722"/>
      <w:bookmarkStart w:id="24" w:name="_Toc478067924"/>
      <w:bookmarkStart w:id="25" w:name="_Toc478069017"/>
      <w:bookmarkStart w:id="26" w:name="_Toc478069045"/>
      <w:bookmarkStart w:id="27" w:name="_Toc477332735"/>
      <w:bookmarkStart w:id="28" w:name="_Toc477461232"/>
      <w:bookmarkStart w:id="29" w:name="_Toc477470453"/>
      <w:bookmarkStart w:id="30" w:name="_Toc477861337"/>
      <w:bookmarkStart w:id="31" w:name="_Toc477870614"/>
      <w:bookmarkStart w:id="32" w:name="_Toc478169470"/>
      <w:r>
        <w:t>Add</w:t>
      </w:r>
      <w:r w:rsidR="00812336">
        <w:t xml:space="preserve">ition of SCG SRB is decided by </w:t>
      </w:r>
      <w:bookmarkEnd w:id="23"/>
      <w:bookmarkEnd w:id="24"/>
      <w:r w:rsidR="00812336">
        <w:t>MN.</w:t>
      </w:r>
      <w:bookmarkEnd w:id="25"/>
      <w:bookmarkEnd w:id="26"/>
      <w:bookmarkEnd w:id="32"/>
    </w:p>
    <w:p w14:paraId="11604BE9" w14:textId="38328651" w:rsidR="00AD415A" w:rsidRDefault="00AD415A" w:rsidP="00AD415A">
      <w:pPr>
        <w:pStyle w:val="Proposal"/>
      </w:pPr>
      <w:bookmarkStart w:id="33" w:name="_Toc477985723"/>
      <w:bookmarkStart w:id="34" w:name="_Toc478067925"/>
      <w:bookmarkStart w:id="35" w:name="_Toc478069018"/>
      <w:bookmarkStart w:id="36" w:name="_Toc478069046"/>
      <w:bookmarkStart w:id="37" w:name="_Toc478169471"/>
      <w:r>
        <w:t xml:space="preserve">SCG SRB </w:t>
      </w:r>
      <w:r w:rsidR="00D9104C">
        <w:t xml:space="preserve">configuration is provided </w:t>
      </w:r>
      <w:r>
        <w:t xml:space="preserve">by </w:t>
      </w:r>
      <w:r w:rsidR="00D9104C">
        <w:t xml:space="preserve">NR RRC from </w:t>
      </w:r>
      <w:r>
        <w:t>SN</w:t>
      </w:r>
      <w:r w:rsidRPr="00A04F49">
        <w:t>.</w:t>
      </w:r>
      <w:bookmarkEnd w:id="27"/>
      <w:bookmarkEnd w:id="28"/>
      <w:bookmarkEnd w:id="29"/>
      <w:bookmarkEnd w:id="30"/>
      <w:bookmarkEnd w:id="31"/>
      <w:bookmarkEnd w:id="33"/>
      <w:bookmarkEnd w:id="34"/>
      <w:bookmarkEnd w:id="35"/>
      <w:bookmarkEnd w:id="36"/>
      <w:bookmarkEnd w:id="37"/>
    </w:p>
    <w:p w14:paraId="594AED01" w14:textId="0951C57C" w:rsidR="00AD415A" w:rsidRDefault="00AD415A" w:rsidP="00CF68EE">
      <w:pPr>
        <w:pStyle w:val="BodyText"/>
      </w:pPr>
    </w:p>
    <w:p w14:paraId="2111D661" w14:textId="04C92422" w:rsidR="000D0280" w:rsidRDefault="0006608B" w:rsidP="00284CCD">
      <w:pPr>
        <w:pStyle w:val="BodyText"/>
        <w:jc w:val="center"/>
      </w:pPr>
      <w:r w:rsidRPr="00A50E62">
        <w:object w:dxaOrig="4275" w:dyaOrig="2865" w14:anchorId="4B799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75pt;height:164.25pt" o:ole="">
            <v:imagedata r:id="rId14" o:title=""/>
          </v:shape>
          <o:OLEObject Type="Embed" ProgID="Visio.Drawing.11" ShapeID="_x0000_i1025" DrawAspect="Content" ObjectID="_1551911358" r:id="rId15"/>
        </w:object>
      </w:r>
    </w:p>
    <w:p w14:paraId="52B919DF" w14:textId="3D054563" w:rsidR="00AD415A" w:rsidRDefault="00284CCD" w:rsidP="00284CCD">
      <w:pPr>
        <w:pStyle w:val="Caption"/>
      </w:pPr>
      <w:r>
        <w:t xml:space="preserve">Figure </w:t>
      </w:r>
      <w:r>
        <w:fldChar w:fldCharType="begin"/>
      </w:r>
      <w:r>
        <w:instrText xml:space="preserve"> SEQ Figure \* ARABIC </w:instrText>
      </w:r>
      <w:r>
        <w:fldChar w:fldCharType="separate"/>
      </w:r>
      <w:r w:rsidR="00E506F6">
        <w:rPr>
          <w:noProof/>
        </w:rPr>
        <w:t>1</w:t>
      </w:r>
      <w:r>
        <w:fldChar w:fldCharType="end"/>
      </w:r>
      <w:r>
        <w:t>: RRC mapping to MCG SRB and SCG SRB</w:t>
      </w:r>
      <w:r w:rsidR="008E0447">
        <w:t>.</w:t>
      </w:r>
    </w:p>
    <w:p w14:paraId="12E3DDFF" w14:textId="77777777" w:rsidR="00AD415A" w:rsidRPr="00A04F49" w:rsidRDefault="00AD415A" w:rsidP="00CF68EE">
      <w:pPr>
        <w:pStyle w:val="BodyText"/>
      </w:pPr>
    </w:p>
    <w:p w14:paraId="2CE3D259" w14:textId="1E7F8FCB" w:rsidR="00CE0424" w:rsidRDefault="00CF68EE" w:rsidP="00CE0424">
      <w:pPr>
        <w:pStyle w:val="Heading2"/>
      </w:pPr>
      <w:r>
        <w:t>Mapping of RRC messages on SCG and MCG SRBs</w:t>
      </w:r>
    </w:p>
    <w:p w14:paraId="29EBC27A" w14:textId="4956347C" w:rsidR="00284CCD" w:rsidRDefault="007E5181" w:rsidP="00CF68EE">
      <w:r>
        <w:t>In order to minimize changes to LTE RRC, i</w:t>
      </w:r>
      <w:r w:rsidR="00284CCD">
        <w:t xml:space="preserve">t seems straightforward that MN </w:t>
      </w:r>
      <w:r>
        <w:t xml:space="preserve">LTE </w:t>
      </w:r>
      <w:r w:rsidR="00284CCD">
        <w:t>RRC messages should be mapped only to MCG SRB.</w:t>
      </w:r>
    </w:p>
    <w:p w14:paraId="0ACA710D" w14:textId="147E8518" w:rsidR="00284CCD" w:rsidRDefault="00386149" w:rsidP="00284CCD">
      <w:pPr>
        <w:pStyle w:val="Proposal"/>
      </w:pPr>
      <w:bookmarkStart w:id="38" w:name="_Toc477470454"/>
      <w:bookmarkStart w:id="39" w:name="_Toc477861338"/>
      <w:bookmarkStart w:id="40" w:name="_Toc477870615"/>
      <w:bookmarkStart w:id="41" w:name="_Toc477985724"/>
      <w:bookmarkStart w:id="42" w:name="_Toc478067926"/>
      <w:bookmarkStart w:id="43" w:name="_Toc478069019"/>
      <w:bookmarkStart w:id="44" w:name="_Toc478069047"/>
      <w:bookmarkStart w:id="45" w:name="_Toc478169472"/>
      <w:r>
        <w:t xml:space="preserve">All </w:t>
      </w:r>
      <w:r w:rsidR="00672126">
        <w:t xml:space="preserve">LTE </w:t>
      </w:r>
      <w:r w:rsidR="00284CCD">
        <w:t>RRC messages are mapped to MCG SRB</w:t>
      </w:r>
      <w:bookmarkEnd w:id="38"/>
      <w:bookmarkEnd w:id="39"/>
      <w:bookmarkEnd w:id="40"/>
      <w:bookmarkEnd w:id="41"/>
      <w:bookmarkEnd w:id="42"/>
      <w:bookmarkEnd w:id="43"/>
      <w:bookmarkEnd w:id="44"/>
      <w:r w:rsidR="009213AE">
        <w:t>.</w:t>
      </w:r>
      <w:bookmarkEnd w:id="45"/>
    </w:p>
    <w:p w14:paraId="1EBC221C" w14:textId="4B152C0D" w:rsidR="00CF68EE" w:rsidRDefault="0006608B" w:rsidP="00CF68EE">
      <w:r>
        <w:t>NR</w:t>
      </w:r>
      <w:r w:rsidR="00D3761B">
        <w:t xml:space="preserve"> RRC messages can be either </w:t>
      </w:r>
      <w:r w:rsidR="002435A3">
        <w:t xml:space="preserve">encapsulated in </w:t>
      </w:r>
      <w:r>
        <w:t xml:space="preserve">LTE </w:t>
      </w:r>
      <w:r w:rsidR="002435A3">
        <w:t>RRC message</w:t>
      </w:r>
      <w:r w:rsidR="00BD4EFC">
        <w:t xml:space="preserve"> and mapped to MCG SRB</w:t>
      </w:r>
      <w:r w:rsidR="002435A3">
        <w:t>,</w:t>
      </w:r>
      <w:r w:rsidR="00D3761B">
        <w:t xml:space="preserve"> or </w:t>
      </w:r>
      <w:r w:rsidR="00BD4EFC">
        <w:t xml:space="preserve">mapped directly to </w:t>
      </w:r>
      <w:r w:rsidR="00D3761B">
        <w:t xml:space="preserve">SCG SRB. </w:t>
      </w:r>
      <w:r w:rsidR="00BD4EFC">
        <w:t>During the SI phase RAN2</w:t>
      </w:r>
      <w:r w:rsidR="000D0280">
        <w:t xml:space="preserve"> </w:t>
      </w:r>
      <w:r w:rsidR="00A75225">
        <w:t xml:space="preserve">agreed </w:t>
      </w:r>
      <w:r w:rsidR="000D0280">
        <w:t>the</w:t>
      </w:r>
      <w:r w:rsidR="00A75225">
        <w:t xml:space="preserve"> following</w:t>
      </w:r>
      <w:r w:rsidR="000D0280">
        <w:t xml:space="preserve"> general rules:</w:t>
      </w:r>
    </w:p>
    <w:p w14:paraId="57194C45" w14:textId="77777777" w:rsidR="000D0280" w:rsidRDefault="000D0280" w:rsidP="000D0280">
      <w:pPr>
        <w:pStyle w:val="ListParagraph"/>
        <w:numPr>
          <w:ilvl w:val="0"/>
          <w:numId w:val="15"/>
        </w:numPr>
      </w:pPr>
      <w:r>
        <w:t>For the SN/MN RRC reconfiguration requiring also MN/SN RRC reconfiguration, a MN RRC message is delivered with an embedded SN RRC message.</w:t>
      </w:r>
    </w:p>
    <w:p w14:paraId="24067571" w14:textId="599C2A8D" w:rsidR="000D0280" w:rsidRDefault="000D0280" w:rsidP="000D0280">
      <w:pPr>
        <w:pStyle w:val="ListParagraph"/>
        <w:numPr>
          <w:ilvl w:val="0"/>
          <w:numId w:val="15"/>
        </w:numPr>
      </w:pPr>
      <w:r>
        <w:t>For SN RRC reconfigurations not requiring any coordination with MN then SN RRC messages can be transported directly to the UE (or eNB implementation can be deliver it embedded within a MN RRC message)</w:t>
      </w:r>
    </w:p>
    <w:p w14:paraId="45ED9F98" w14:textId="49D41F6D" w:rsidR="00266410" w:rsidRDefault="00A75225" w:rsidP="00F9692D">
      <w:pPr>
        <w:pStyle w:val="BodyText"/>
      </w:pPr>
      <w:r>
        <w:t>In the</w:t>
      </w:r>
      <w:r w:rsidR="00BD4EFC">
        <w:t xml:space="preserve"> specifications, the focus should</w:t>
      </w:r>
      <w:r>
        <w:t xml:space="preserve"> be on the mapping of uplink </w:t>
      </w:r>
      <w:r w:rsidR="00386149">
        <w:t xml:space="preserve">NR </w:t>
      </w:r>
      <w:r>
        <w:t>RRC messages to MCG SRB or SCG SRB, if SCG SRB is configured.</w:t>
      </w:r>
      <w:r w:rsidR="00C25CE4">
        <w:t xml:space="preserve"> </w:t>
      </w:r>
      <w:r w:rsidR="00266410">
        <w:t>Preferably clear rules can be defined per message type how the mapping is to be done, in case SCG SRB is configured.</w:t>
      </w:r>
    </w:p>
    <w:p w14:paraId="7B33CCBD" w14:textId="3488698F" w:rsidR="00C25CE4" w:rsidRDefault="00266410" w:rsidP="00F9692D">
      <w:pPr>
        <w:pStyle w:val="BodyText"/>
      </w:pPr>
      <w:r>
        <w:t xml:space="preserve">In the downlink, mapping may not be so straightforward. For instance, for the RRC connection reconfiguration procedure, mapping will depend on whether capability coordination is needed or not. This may not be so easy to express in </w:t>
      </w:r>
      <w:r w:rsidR="00031A1B">
        <w:t xml:space="preserve">the </w:t>
      </w:r>
      <w:r>
        <w:t>RRC</w:t>
      </w:r>
      <w:r w:rsidR="00031A1B">
        <w:t xml:space="preserve"> specification</w:t>
      </w:r>
      <w:r>
        <w:t xml:space="preserve">, since it will depend on the existence and content of Information Elements contained in the </w:t>
      </w:r>
      <w:r w:rsidRPr="00266410">
        <w:rPr>
          <w:i/>
        </w:rPr>
        <w:t>RRCConnectionReconfiguration</w:t>
      </w:r>
      <w:r>
        <w:t xml:space="preserve"> message. </w:t>
      </w:r>
      <w:r w:rsidR="00D8205B">
        <w:t xml:space="preserve">To the UE, it should not matter whether a RRC message is received via the MCG SRB or the SCG SRB, if configured. </w:t>
      </w:r>
      <w:r>
        <w:t>Thus, m</w:t>
      </w:r>
      <w:r w:rsidR="00C25CE4">
        <w:t xml:space="preserve">apping of downlink NR RRC messages to MCG SRB or SCG SRB </w:t>
      </w:r>
      <w:r w:rsidR="00031A1B">
        <w:t xml:space="preserve">should preferably </w:t>
      </w:r>
      <w:r w:rsidR="00C25CE4">
        <w:t>be left to network implementation.</w:t>
      </w:r>
      <w:r w:rsidR="00031A1B">
        <w:t xml:space="preserve"> </w:t>
      </w:r>
    </w:p>
    <w:p w14:paraId="4B6C9226" w14:textId="4E209CEB" w:rsidR="00BD4EFC" w:rsidRDefault="00BD4EFC" w:rsidP="00C25CE4">
      <w:pPr>
        <w:pStyle w:val="Proposal"/>
      </w:pPr>
      <w:bookmarkStart w:id="46" w:name="_Toc478069020"/>
      <w:bookmarkStart w:id="47" w:name="_Toc478069048"/>
      <w:bookmarkStart w:id="48" w:name="_Toc478169473"/>
      <w:r>
        <w:t>T</w:t>
      </w:r>
      <w:r w:rsidR="00C25CE4">
        <w:t>he specifications</w:t>
      </w:r>
      <w:r>
        <w:t xml:space="preserve"> </w:t>
      </w:r>
      <w:r w:rsidR="00E637E7">
        <w:t>shou</w:t>
      </w:r>
      <w:r>
        <w:t>l</w:t>
      </w:r>
      <w:r w:rsidR="00E637E7">
        <w:t>d</w:t>
      </w:r>
      <w:r>
        <w:t xml:space="preserve"> describe</w:t>
      </w:r>
      <w:r w:rsidR="00C25CE4">
        <w:t xml:space="preserve"> the mapping of uplink NR RRC messages to MCG SRB or SCG SRB</w:t>
      </w:r>
      <w:r>
        <w:t xml:space="preserve"> (if configured)</w:t>
      </w:r>
      <w:r w:rsidR="00C25CE4">
        <w:t>.</w:t>
      </w:r>
      <w:bookmarkEnd w:id="48"/>
      <w:r w:rsidR="00C25CE4">
        <w:t xml:space="preserve"> </w:t>
      </w:r>
    </w:p>
    <w:p w14:paraId="64FCB5E1" w14:textId="77D78D1C" w:rsidR="00C25CE4" w:rsidRDefault="00C25CE4" w:rsidP="00C25CE4">
      <w:pPr>
        <w:pStyle w:val="Proposal"/>
      </w:pPr>
      <w:bookmarkStart w:id="49" w:name="_Toc478169474"/>
      <w:r>
        <w:t>Mapping of downlink NR RRC messages to MCG SRB or SCG SRB can be left to network implementation</w:t>
      </w:r>
      <w:bookmarkEnd w:id="46"/>
      <w:bookmarkEnd w:id="47"/>
      <w:r w:rsidR="009213AE">
        <w:t>.</w:t>
      </w:r>
      <w:bookmarkEnd w:id="49"/>
    </w:p>
    <w:p w14:paraId="423502C0" w14:textId="4EDC79A7" w:rsidR="000D0280" w:rsidRDefault="000D0280" w:rsidP="00F9692D">
      <w:pPr>
        <w:pStyle w:val="BodyText"/>
      </w:pPr>
    </w:p>
    <w:p w14:paraId="7BBA819D" w14:textId="7976EE7F" w:rsidR="0093526A" w:rsidRDefault="007C11C9" w:rsidP="009E64AF">
      <w:r>
        <w:t xml:space="preserve">In the following, we go through </w:t>
      </w:r>
      <w:r w:rsidR="00BD4EFC">
        <w:t>some key</w:t>
      </w:r>
      <w:r>
        <w:t xml:space="preserve"> RRC procedures and discuss </w:t>
      </w:r>
      <w:r w:rsidR="00BD4EFC">
        <w:t>the</w:t>
      </w:r>
      <w:r>
        <w:t xml:space="preserve"> mapping</w:t>
      </w:r>
      <w:r w:rsidR="00BD4EFC">
        <w:t xml:space="preserve"> of RRC messages on</w:t>
      </w:r>
      <w:r>
        <w:t xml:space="preserve"> MCG</w:t>
      </w:r>
      <w:r w:rsidR="00BD4EFC">
        <w:t xml:space="preserve"> SRB</w:t>
      </w:r>
      <w:r>
        <w:t xml:space="preserve"> </w:t>
      </w:r>
      <w:r w:rsidR="00BD4EFC">
        <w:t>or SCG SRB</w:t>
      </w:r>
      <w:r>
        <w:t>.</w:t>
      </w:r>
    </w:p>
    <w:p w14:paraId="467313AA" w14:textId="418911D2" w:rsidR="007C11C9" w:rsidRDefault="009C0A97" w:rsidP="007C11C9">
      <w:pPr>
        <w:pStyle w:val="Heading3"/>
      </w:pPr>
      <w:r>
        <w:t xml:space="preserve">Paging &amp; </w:t>
      </w:r>
      <w:r w:rsidR="007C11C9">
        <w:t>RRC connection establishment</w:t>
      </w:r>
    </w:p>
    <w:p w14:paraId="59FBCF07" w14:textId="09EEFD4A" w:rsidR="007C11C9" w:rsidRDefault="004B7120" w:rsidP="007C11C9">
      <w:r>
        <w:t xml:space="preserve">During study item phase, it was agreed </w:t>
      </w:r>
      <w:r w:rsidRPr="00A447E8">
        <w:rPr>
          <w:lang w:eastAsia="ja-JP"/>
        </w:rPr>
        <w:t>the UE has a single RRC state machine based on the master node RAT</w:t>
      </w:r>
      <w:r>
        <w:rPr>
          <w:lang w:eastAsia="ja-JP"/>
        </w:rPr>
        <w:t>. This implies connection control and UE state handling is controlled by the master node and thus procedures related to this should be mapped to MCG SRB. Thus, p</w:t>
      </w:r>
      <w:r w:rsidR="007C11C9">
        <w:t>rocedures for</w:t>
      </w:r>
      <w:r w:rsidR="009C0A97">
        <w:t xml:space="preserve"> paging and </w:t>
      </w:r>
      <w:r w:rsidR="007C11C9">
        <w:t xml:space="preserve">RRC connection </w:t>
      </w:r>
      <w:r w:rsidR="00C3386B">
        <w:t>(re-)</w:t>
      </w:r>
      <w:r w:rsidR="007C11C9">
        <w:t>establishment, including messages for RRC connection setup</w:t>
      </w:r>
      <w:r w:rsidR="00792265">
        <w:t>,</w:t>
      </w:r>
      <w:r w:rsidR="007C11C9">
        <w:t xml:space="preserve"> resume</w:t>
      </w:r>
      <w:r w:rsidR="00792265">
        <w:t xml:space="preserve"> and release</w:t>
      </w:r>
      <w:r w:rsidR="007C11C9">
        <w:t xml:space="preserve">, </w:t>
      </w:r>
      <w:r w:rsidR="00684BA6">
        <w:t xml:space="preserve">are handled by LTE RRC and </w:t>
      </w:r>
      <w:r w:rsidR="007C11C9">
        <w:t>cannot be mapped to the SCG SRB</w:t>
      </w:r>
      <w:r>
        <w:t>.</w:t>
      </w:r>
    </w:p>
    <w:p w14:paraId="192892CE" w14:textId="0D241A0D" w:rsidR="007C11C9" w:rsidRDefault="007C11C9" w:rsidP="007C11C9">
      <w:pPr>
        <w:pStyle w:val="Proposal"/>
      </w:pPr>
      <w:bookmarkStart w:id="50" w:name="_Toc477861339"/>
      <w:bookmarkStart w:id="51" w:name="_Toc477870616"/>
      <w:bookmarkStart w:id="52" w:name="_Toc477985725"/>
      <w:bookmarkStart w:id="53" w:name="_Toc478067927"/>
      <w:bookmarkStart w:id="54" w:name="_Toc478069021"/>
      <w:bookmarkStart w:id="55" w:name="_Toc478069049"/>
      <w:bookmarkStart w:id="56" w:name="_Toc478169475"/>
      <w:r>
        <w:t xml:space="preserve">Messages of </w:t>
      </w:r>
      <w:r w:rsidR="009C0A97">
        <w:t xml:space="preserve">Paging and </w:t>
      </w:r>
      <w:r>
        <w:t>RRC connection establishment</w:t>
      </w:r>
      <w:r w:rsidR="003274E2">
        <w:t>, re-establishment, resume</w:t>
      </w:r>
      <w:r>
        <w:t xml:space="preserve"> </w:t>
      </w:r>
      <w:r w:rsidR="000A6813">
        <w:rPr>
          <w:lang w:val="en-US"/>
        </w:rPr>
        <w:t xml:space="preserve">and </w:t>
      </w:r>
      <w:r w:rsidR="003274E2">
        <w:rPr>
          <w:lang w:val="en-US"/>
        </w:rPr>
        <w:t>release</w:t>
      </w:r>
      <w:r w:rsidR="000A6813">
        <w:rPr>
          <w:lang w:val="en-US"/>
        </w:rPr>
        <w:t xml:space="preserve"> </w:t>
      </w:r>
      <w:r>
        <w:t xml:space="preserve">procedures </w:t>
      </w:r>
      <w:r w:rsidR="00C856E5">
        <w:t xml:space="preserve">are </w:t>
      </w:r>
      <w:r w:rsidR="00386149">
        <w:t xml:space="preserve">handled by LTE and thus </w:t>
      </w:r>
      <w:r w:rsidR="00C856E5">
        <w:t xml:space="preserve">mapped to MCG </w:t>
      </w:r>
      <w:r>
        <w:t>SRB</w:t>
      </w:r>
      <w:bookmarkEnd w:id="50"/>
      <w:bookmarkEnd w:id="51"/>
      <w:bookmarkEnd w:id="52"/>
      <w:bookmarkEnd w:id="53"/>
      <w:bookmarkEnd w:id="54"/>
      <w:bookmarkEnd w:id="55"/>
      <w:r w:rsidR="009213AE">
        <w:t>.</w:t>
      </w:r>
      <w:bookmarkEnd w:id="56"/>
    </w:p>
    <w:p w14:paraId="2C422CCA" w14:textId="164FA6BE" w:rsidR="007C11C9" w:rsidRDefault="007C11C9" w:rsidP="007C11C9">
      <w:pPr>
        <w:pStyle w:val="Heading3"/>
      </w:pPr>
      <w:r w:rsidRPr="007C11C9">
        <w:t>Initial security activation</w:t>
      </w:r>
    </w:p>
    <w:p w14:paraId="449E6746" w14:textId="4F22653E" w:rsidR="009F307A" w:rsidRDefault="009F307A" w:rsidP="009F307A">
      <w:r>
        <w:t>Procedures for Initial security activation, including Security command messages, cannot be mapped to the SCG SRB, as this procedure is performed before activating DC.</w:t>
      </w:r>
    </w:p>
    <w:p w14:paraId="556E6B25" w14:textId="674721F2" w:rsidR="009F307A" w:rsidRDefault="009F307A" w:rsidP="009F307A">
      <w:pPr>
        <w:pStyle w:val="Proposal"/>
      </w:pPr>
      <w:bookmarkStart w:id="57" w:name="_Toc477861340"/>
      <w:bookmarkStart w:id="58" w:name="_Toc477870617"/>
      <w:bookmarkStart w:id="59" w:name="_Toc477985726"/>
      <w:bookmarkStart w:id="60" w:name="_Toc478067928"/>
      <w:bookmarkStart w:id="61" w:name="_Toc478069022"/>
      <w:bookmarkStart w:id="62" w:name="_Toc478069050"/>
      <w:bookmarkStart w:id="63" w:name="_Toc478169476"/>
      <w:r>
        <w:t xml:space="preserve">Messages of </w:t>
      </w:r>
      <w:r w:rsidR="00C91581">
        <w:t>Initial security activation</w:t>
      </w:r>
      <w:r>
        <w:t xml:space="preserve"> procedures </w:t>
      </w:r>
      <w:r w:rsidR="00C856E5">
        <w:t xml:space="preserve">are </w:t>
      </w:r>
      <w:r w:rsidR="009608ED">
        <w:t xml:space="preserve">handled by LTE RRC and thus </w:t>
      </w:r>
      <w:r w:rsidR="00C856E5">
        <w:t>mapped to M</w:t>
      </w:r>
      <w:r>
        <w:t>CG SRB</w:t>
      </w:r>
      <w:bookmarkEnd w:id="57"/>
      <w:bookmarkEnd w:id="58"/>
      <w:bookmarkEnd w:id="59"/>
      <w:bookmarkEnd w:id="60"/>
      <w:bookmarkEnd w:id="61"/>
      <w:bookmarkEnd w:id="62"/>
      <w:r w:rsidR="0075539E">
        <w:t>.</w:t>
      </w:r>
      <w:bookmarkEnd w:id="63"/>
    </w:p>
    <w:p w14:paraId="09A571D1" w14:textId="5B6EC0D7" w:rsidR="007C11C9" w:rsidRDefault="00C91581" w:rsidP="00C91581">
      <w:pPr>
        <w:pStyle w:val="Heading3"/>
      </w:pPr>
      <w:r>
        <w:t>RRC connection reconfiguration</w:t>
      </w:r>
    </w:p>
    <w:p w14:paraId="42E8F0E4" w14:textId="73BAC6AB" w:rsidR="00C91581" w:rsidRDefault="00C91581" w:rsidP="00C91581">
      <w:r>
        <w:t>With the decision from the study item phase that SN generates NR RRC PDUs (for option 3), RRC connection reconfiguration could be triggered by either MN or SN. If the reconfiguration involves both MN and SN RRC reconfiguration, the messages</w:t>
      </w:r>
      <w:r w:rsidR="008870C9">
        <w:t xml:space="preserve"> will be mapped to MCG SRB</w:t>
      </w:r>
      <w:r w:rsidR="00F9692D">
        <w:t xml:space="preserve"> according to agreement from study item</w:t>
      </w:r>
      <w:r w:rsidR="008870C9">
        <w:t>, see figure.</w:t>
      </w:r>
    </w:p>
    <w:p w14:paraId="4C3CB45D" w14:textId="3595C695" w:rsidR="00A92081" w:rsidRDefault="008E346F" w:rsidP="00A92081">
      <w:pPr>
        <w:pStyle w:val="BodyText"/>
        <w:jc w:val="center"/>
      </w:pPr>
      <w:r w:rsidRPr="005B5AE3">
        <w:object w:dxaOrig="9990" w:dyaOrig="3255" w14:anchorId="10782191">
          <v:shape id="_x0000_i1047" type="#_x0000_t75" style="width:447pt;height:145.5pt" o:ole="" o:bordertopcolor="black" o:borderleftcolor="black" o:borderbottomcolor="black" o:borderrightcolor="black" filled="t">
            <v:imagedata r:id="rId16" o:title=""/>
            <w10:bordertop type="single" width="6"/>
            <w10:borderleft type="single" width="6"/>
            <w10:borderbottom type="single" width="6"/>
            <w10:borderright type="single" width="6"/>
          </v:shape>
          <o:OLEObject Type="Embed" ProgID="Visio.Drawing.11" ShapeID="_x0000_i1047" DrawAspect="Content" ObjectID="_1551911359" r:id="rId17"/>
        </w:object>
      </w:r>
    </w:p>
    <w:p w14:paraId="59FA1EA9" w14:textId="4BAC7FF0" w:rsidR="00A92081" w:rsidRPr="008E346F" w:rsidRDefault="006D01AB" w:rsidP="008E346F">
      <w:pPr>
        <w:pStyle w:val="Caption"/>
      </w:pPr>
      <w:r>
        <w:t xml:space="preserve">Figure </w:t>
      </w:r>
      <w:r>
        <w:fldChar w:fldCharType="begin"/>
      </w:r>
      <w:r>
        <w:instrText xml:space="preserve"> SEQ Figure \* ARABIC </w:instrText>
      </w:r>
      <w:r>
        <w:fldChar w:fldCharType="separate"/>
      </w:r>
      <w:r w:rsidR="00E506F6">
        <w:rPr>
          <w:noProof/>
        </w:rPr>
        <w:t>2</w:t>
      </w:r>
      <w:r>
        <w:fldChar w:fldCharType="end"/>
      </w:r>
      <w:r w:rsidR="00A92081">
        <w:t xml:space="preserve">: </w:t>
      </w:r>
      <w:r>
        <w:t xml:space="preserve">NR </w:t>
      </w:r>
      <w:r w:rsidR="00A92081">
        <w:t xml:space="preserve">RRC </w:t>
      </w:r>
      <w:r>
        <w:t>PDUs sent over MCG SRB encapsulated in LTE RRC PDU</w:t>
      </w:r>
      <w:r w:rsidR="008E0447">
        <w:t>.</w:t>
      </w:r>
    </w:p>
    <w:p w14:paraId="76980503" w14:textId="2B1869E4" w:rsidR="008870C9" w:rsidRDefault="008870C9" w:rsidP="009E64AF">
      <w:r>
        <w:t xml:space="preserve">If the reconfiguration involves only SN RRC reconfiguration, the messages can be mapped to SCG SRB, if configured, see figure. </w:t>
      </w:r>
    </w:p>
    <w:p w14:paraId="2876F29B" w14:textId="04AD5073" w:rsidR="006D01AB" w:rsidRDefault="008E346F" w:rsidP="008870C9">
      <w:pPr>
        <w:jc w:val="center"/>
        <w:rPr>
          <w:highlight w:val="yellow"/>
        </w:rPr>
      </w:pPr>
      <w:r w:rsidRPr="005B5AE3">
        <w:object w:dxaOrig="9990" w:dyaOrig="3255" w14:anchorId="0B190F77">
          <v:shape id="_x0000_i1048" type="#_x0000_t75" style="width:447pt;height:145.5pt" o:ole="" o:bordertopcolor="black" o:borderleftcolor="black" o:borderbottomcolor="black" o:borderrightcolor="black" filled="t">
            <v:imagedata r:id="rId18" o:title=""/>
            <w10:bordertop type="single" width="6"/>
            <w10:borderleft type="single" width="6"/>
            <w10:borderbottom type="single" width="6"/>
            <w10:borderright type="single" width="6"/>
          </v:shape>
          <o:OLEObject Type="Embed" ProgID="Visio.Drawing.11" ShapeID="_x0000_i1048" DrawAspect="Content" ObjectID="_1551911360" r:id="rId19"/>
        </w:object>
      </w:r>
    </w:p>
    <w:p w14:paraId="21B32E13" w14:textId="3FA3B919" w:rsidR="008870C9" w:rsidRPr="00C91581" w:rsidRDefault="006D01AB" w:rsidP="00C25CE4">
      <w:pPr>
        <w:pStyle w:val="Caption"/>
      </w:pPr>
      <w:r>
        <w:t xml:space="preserve">Figure </w:t>
      </w:r>
      <w:r>
        <w:fldChar w:fldCharType="begin"/>
      </w:r>
      <w:r>
        <w:instrText xml:space="preserve"> SEQ Figure \* ARABIC </w:instrText>
      </w:r>
      <w:r>
        <w:fldChar w:fldCharType="separate"/>
      </w:r>
      <w:r w:rsidR="00E506F6">
        <w:rPr>
          <w:noProof/>
        </w:rPr>
        <w:t>3</w:t>
      </w:r>
      <w:r>
        <w:fldChar w:fldCharType="end"/>
      </w:r>
      <w:r>
        <w:t xml:space="preserve">: </w:t>
      </w:r>
      <w:r w:rsidR="00F54DB8" w:rsidRPr="008E0447">
        <w:t>NR RRC PDUs sent directly to UE via SCG SRB</w:t>
      </w:r>
      <w:r w:rsidR="008E0447">
        <w:t>.</w:t>
      </w:r>
    </w:p>
    <w:p w14:paraId="163C97DC" w14:textId="5F5BEB17" w:rsidR="008870C9" w:rsidRDefault="00F54DB8" w:rsidP="009E64AF">
      <w:r>
        <w:t xml:space="preserve">In both cases, it would be natural that the RRC connection reconfiguration complete message would be sent on the same SRB as the </w:t>
      </w:r>
      <w:r w:rsidR="00C856E5">
        <w:t xml:space="preserve">received </w:t>
      </w:r>
      <w:r>
        <w:t xml:space="preserve">configuration message, so that it is received by the same RRC entity that triggered the procedure. </w:t>
      </w:r>
      <w:r w:rsidR="008870C9">
        <w:t>Thus, a conclusion for</w:t>
      </w:r>
      <w:r w:rsidR="00E52C5D">
        <w:t xml:space="preserve"> mapping could be that RRC configuration complete messages should be mapped to the same SRB as the message initiating the procedure.</w:t>
      </w:r>
      <w:r w:rsidR="00C856E5">
        <w:t xml:space="preserve"> </w:t>
      </w:r>
    </w:p>
    <w:p w14:paraId="70E2CE67" w14:textId="24227BF2" w:rsidR="0093526A" w:rsidRDefault="009608ED" w:rsidP="0093526A">
      <w:pPr>
        <w:pStyle w:val="Proposal"/>
      </w:pPr>
      <w:bookmarkStart w:id="64" w:name="_Toc477470456"/>
      <w:bookmarkStart w:id="65" w:name="_Toc477861341"/>
      <w:bookmarkStart w:id="66" w:name="_Toc477870618"/>
      <w:bookmarkStart w:id="67" w:name="_Toc477985727"/>
      <w:bookmarkStart w:id="68" w:name="_Toc478067929"/>
      <w:bookmarkStart w:id="69" w:name="_Toc478069023"/>
      <w:bookmarkStart w:id="70" w:name="_Toc478069051"/>
      <w:bookmarkStart w:id="71" w:name="_Toc478169477"/>
      <w:r>
        <w:t>NR</w:t>
      </w:r>
      <w:r w:rsidR="0093526A">
        <w:t xml:space="preserve"> RRC complete messages are mapped to the same SRB as the message initiating the procedure</w:t>
      </w:r>
      <w:bookmarkEnd w:id="64"/>
      <w:r w:rsidR="00103BCB">
        <w:t>.</w:t>
      </w:r>
      <w:bookmarkEnd w:id="65"/>
      <w:bookmarkEnd w:id="66"/>
      <w:bookmarkEnd w:id="67"/>
      <w:bookmarkEnd w:id="68"/>
      <w:bookmarkEnd w:id="69"/>
      <w:bookmarkEnd w:id="70"/>
      <w:bookmarkEnd w:id="71"/>
    </w:p>
    <w:p w14:paraId="0EF9362D" w14:textId="6CBF3897" w:rsidR="002D73E0" w:rsidRDefault="00C3386B" w:rsidP="00EF093A">
      <w:pPr>
        <w:pStyle w:val="Heading3"/>
      </w:pPr>
      <w:bookmarkStart w:id="72" w:name="_MON_1267948855"/>
      <w:bookmarkEnd w:id="72"/>
      <w:r>
        <w:t>SCG failure information</w:t>
      </w:r>
    </w:p>
    <w:bookmarkStart w:id="73" w:name="_MON_1475577186"/>
    <w:bookmarkStart w:id="74" w:name="_MON_1475577114"/>
    <w:bookmarkStart w:id="75" w:name="_MON_1475577129"/>
    <w:bookmarkEnd w:id="73"/>
    <w:bookmarkEnd w:id="74"/>
    <w:bookmarkEnd w:id="75"/>
    <w:bookmarkStart w:id="76" w:name="_MON_1475577171"/>
    <w:bookmarkEnd w:id="76"/>
    <w:p w14:paraId="7D90C894" w14:textId="554160BF" w:rsidR="00E506F6" w:rsidRDefault="00E506F6" w:rsidP="00EF093A">
      <w:pPr>
        <w:jc w:val="center"/>
      </w:pPr>
      <w:r w:rsidRPr="002213D7">
        <w:object w:dxaOrig="6855" w:dyaOrig="2535" w14:anchorId="2C303E6E">
          <v:shape id="_x0000_i1030" type="#_x0000_t75" style="width:318pt;height:118.5pt" o:ole="">
            <v:imagedata r:id="rId20" o:title=""/>
          </v:shape>
          <o:OLEObject Type="Embed" ProgID="Word.Picture.8" ShapeID="_x0000_i1030" DrawAspect="Content" ObjectID="_1551911361" r:id="rId21"/>
        </w:object>
      </w:r>
    </w:p>
    <w:p w14:paraId="48295B06" w14:textId="0B7F4278" w:rsidR="00E506F6" w:rsidRPr="00E506F6" w:rsidRDefault="00E506F6" w:rsidP="00684BA6">
      <w:pPr>
        <w:pStyle w:val="Caption"/>
      </w:pPr>
      <w:r>
        <w:t xml:space="preserve">Figure </w:t>
      </w:r>
      <w:r>
        <w:fldChar w:fldCharType="begin"/>
      </w:r>
      <w:r>
        <w:instrText xml:space="preserve"> SEQ Figure \* ARABIC </w:instrText>
      </w:r>
      <w:r>
        <w:fldChar w:fldCharType="separate"/>
      </w:r>
      <w:r>
        <w:rPr>
          <w:noProof/>
        </w:rPr>
        <w:t>5</w:t>
      </w:r>
      <w:r>
        <w:fldChar w:fldCharType="end"/>
      </w:r>
      <w:r>
        <w:t>: SCG failure information</w:t>
      </w:r>
    </w:p>
    <w:p w14:paraId="39F66817" w14:textId="664D6749" w:rsidR="00E506F6" w:rsidRDefault="00E506F6" w:rsidP="00E506F6">
      <w:pPr>
        <w:rPr>
          <w:rFonts w:eastAsia="MS Mincho"/>
        </w:rPr>
      </w:pPr>
      <w:r>
        <w:t>The SCG failure information procedure</w:t>
      </w:r>
      <w:r w:rsidRPr="002213D7">
        <w:t xml:space="preserve"> is</w:t>
      </w:r>
      <w:r>
        <w:t xml:space="preserve"> used</w:t>
      </w:r>
      <w:r w:rsidRPr="002213D7">
        <w:t xml:space="preserve"> to inform </w:t>
      </w:r>
      <w:r>
        <w:t>the network</w:t>
      </w:r>
      <w:r w:rsidRPr="002213D7">
        <w:t xml:space="preserve"> about an SCG failure the UE has experienced i.e. SCG radio link failure, SCG change failure</w:t>
      </w:r>
      <w:r w:rsidRPr="002213D7">
        <w:rPr>
          <w:rFonts w:eastAsia="MS Mincho"/>
        </w:rPr>
        <w:t>.</w:t>
      </w:r>
      <w:r>
        <w:rPr>
          <w:rFonts w:eastAsia="MS Mincho"/>
        </w:rPr>
        <w:t xml:space="preserve"> Due to the SCG failure there is little point of trying to send the </w:t>
      </w:r>
      <w:r w:rsidRPr="002213D7">
        <w:rPr>
          <w:i/>
          <w:iCs/>
        </w:rPr>
        <w:t>SCGFailureInformation</w:t>
      </w:r>
      <w:r>
        <w:rPr>
          <w:rFonts w:eastAsia="MS Mincho"/>
        </w:rPr>
        <w:t xml:space="preserve"> message</w:t>
      </w:r>
      <w:r w:rsidR="009608ED">
        <w:rPr>
          <w:rFonts w:eastAsia="MS Mincho"/>
        </w:rPr>
        <w:t xml:space="preserve"> over the SCG SRB</w:t>
      </w:r>
      <w:r>
        <w:rPr>
          <w:rFonts w:eastAsia="MS Mincho"/>
        </w:rPr>
        <w:t>. Therefore, this message is best transmitted via the MCG SRB.</w:t>
      </w:r>
    </w:p>
    <w:p w14:paraId="6DF6ADFD" w14:textId="4EC11A56" w:rsidR="00E506F6" w:rsidRDefault="00E506F6" w:rsidP="00E506F6">
      <w:pPr>
        <w:pStyle w:val="Proposal"/>
      </w:pPr>
      <w:bookmarkStart w:id="77" w:name="_Toc477985731"/>
      <w:bookmarkStart w:id="78" w:name="_Toc478067933"/>
      <w:bookmarkStart w:id="79" w:name="_Toc478069027"/>
      <w:bookmarkStart w:id="80" w:name="_Toc478069055"/>
      <w:bookmarkStart w:id="81" w:name="_Toc478169478"/>
      <w:r>
        <w:t>SCG failure information procedure is</w:t>
      </w:r>
      <w:r w:rsidR="009608ED">
        <w:t xml:space="preserve"> handled by LTE RRC and</w:t>
      </w:r>
      <w:r>
        <w:t xml:space="preserve"> mapped to the MCG SRB.</w:t>
      </w:r>
      <w:bookmarkEnd w:id="77"/>
      <w:bookmarkEnd w:id="78"/>
      <w:bookmarkEnd w:id="79"/>
      <w:bookmarkEnd w:id="80"/>
      <w:bookmarkEnd w:id="81"/>
      <w:r>
        <w:t xml:space="preserve"> </w:t>
      </w:r>
    </w:p>
    <w:p w14:paraId="41808D5A" w14:textId="2A999AF5" w:rsidR="002D73E0" w:rsidRDefault="009608ED" w:rsidP="00684BA6">
      <w:pPr>
        <w:pStyle w:val="Heading3"/>
      </w:pPr>
      <w:r>
        <w:t>Measurement report</w:t>
      </w:r>
    </w:p>
    <w:p w14:paraId="13BBC4F2" w14:textId="4C84E3FC" w:rsidR="00F9692D" w:rsidRDefault="00F9692D" w:rsidP="00F9692D">
      <w:r>
        <w:t>During the study item, the following was agreed</w:t>
      </w:r>
      <w:r w:rsidR="009608ED">
        <w:t xml:space="preserve"> regarding transmission of measurement report</w:t>
      </w:r>
      <w:r>
        <w:t>:</w:t>
      </w:r>
    </w:p>
    <w:p w14:paraId="4408D3CC" w14:textId="4B0CA920" w:rsidR="00F9692D" w:rsidRDefault="00F9692D" w:rsidP="00684BA6">
      <w:pPr>
        <w:pStyle w:val="ListParagraph"/>
        <w:numPr>
          <w:ilvl w:val="0"/>
          <w:numId w:val="15"/>
        </w:numPr>
      </w:pPr>
      <w:r>
        <w:t>Measurement reporting for mobility within the SN can be transported in SN RRC messages directly from UE to SN, if SCG SRB is configured.</w:t>
      </w:r>
    </w:p>
    <w:p w14:paraId="38295701" w14:textId="3D534219" w:rsidR="009608ED" w:rsidRDefault="009608ED" w:rsidP="00684BA6">
      <w:pPr>
        <w:pStyle w:val="BodyText"/>
      </w:pPr>
      <w:r>
        <w:t>The agreement limits the usage of SCG SRB for measurement reporting for mobility within the SN. This restriction seems however maybe a bit difficult, since as is the case in LTE, the UE may not be aware of the mapping from cells to nodes. Thus, it would be preferable if the usage of SCG SRB would not depend on whether mobility is within the SN or not.</w:t>
      </w:r>
    </w:p>
    <w:p w14:paraId="3FC0FBC7" w14:textId="4F9F5D50" w:rsidR="00C3386B" w:rsidRDefault="009608ED" w:rsidP="00684BA6">
      <w:pPr>
        <w:pStyle w:val="BodyText"/>
      </w:pPr>
      <w:r>
        <w:t xml:space="preserve">In </w:t>
      </w:r>
      <w:r>
        <w:fldChar w:fldCharType="begin"/>
      </w:r>
      <w:r>
        <w:instrText xml:space="preserve"> REF _Ref478065548 \n \h </w:instrText>
      </w:r>
      <w:r>
        <w:fldChar w:fldCharType="separate"/>
      </w:r>
      <w:r>
        <w:t>[1]</w:t>
      </w:r>
      <w:r>
        <w:fldChar w:fldCharType="end"/>
      </w:r>
      <w:r>
        <w:t>, we discuss the procedure for SN change, i.e. change from a source SeNB (S-SeNB) to a target SeNB (T-SeNB). In the proposed procedure, measurement reports are processed by S-SeNB, which if needed may trigger the SN change procedure. To determine whether Xn connectivity is available between the MeNB and the projected T-SeNB, the SeNB includes the reported PCI in a SgNB Change request message, which is sent to the MeNB. With the proposed procedure, the NR measurement report can be mapped to the SCG SRB, regardless whether the handover is within or between SN.</w:t>
      </w:r>
    </w:p>
    <w:p w14:paraId="015508B8" w14:textId="21EF2966" w:rsidR="00684BA6" w:rsidRDefault="00684BA6" w:rsidP="00684BA6">
      <w:pPr>
        <w:pStyle w:val="Proposal"/>
      </w:pPr>
      <w:bookmarkStart w:id="82" w:name="_Toc478067934"/>
      <w:bookmarkStart w:id="83" w:name="_Toc478069028"/>
      <w:bookmarkStart w:id="84" w:name="_Toc478069056"/>
      <w:bookmarkStart w:id="85" w:name="_Toc478169479"/>
      <w:r>
        <w:t xml:space="preserve">NR </w:t>
      </w:r>
      <w:r w:rsidR="009608ED">
        <w:t xml:space="preserve">RRC </w:t>
      </w:r>
      <w:r>
        <w:t xml:space="preserve">measurement reports </w:t>
      </w:r>
      <w:r w:rsidR="00C25CE4">
        <w:t xml:space="preserve">for intra or inter SN mobility </w:t>
      </w:r>
      <w:r>
        <w:t>are mapped to SCG SRB</w:t>
      </w:r>
      <w:r w:rsidR="009608ED">
        <w:t xml:space="preserve">, if </w:t>
      </w:r>
      <w:r w:rsidR="00C25CE4">
        <w:t>SCG SRB is configured</w:t>
      </w:r>
      <w:r w:rsidR="009608ED">
        <w:t>.</w:t>
      </w:r>
      <w:bookmarkEnd w:id="82"/>
      <w:r w:rsidR="00D6621D">
        <w:t xml:space="preserve"> Otherwise, they are encapsulated in LTE RRC message and transmitted on MCG SRB, and forwarded to SeNB over Xn.</w:t>
      </w:r>
      <w:bookmarkEnd w:id="83"/>
      <w:bookmarkEnd w:id="84"/>
      <w:bookmarkEnd w:id="85"/>
    </w:p>
    <w:p w14:paraId="12A63EBE" w14:textId="05D05F25" w:rsidR="00A75225" w:rsidRDefault="009608ED" w:rsidP="00A75225">
      <w:r>
        <w:t xml:space="preserve"> </w:t>
      </w:r>
    </w:p>
    <w:p w14:paraId="522CD7E3" w14:textId="77777777" w:rsidR="00C01F33" w:rsidRPr="00CE0424" w:rsidRDefault="00C01F33" w:rsidP="00CE0424">
      <w:pPr>
        <w:pStyle w:val="Heading1"/>
      </w:pPr>
      <w:r w:rsidRPr="00CE0424">
        <w:t>Conclusion</w:t>
      </w:r>
    </w:p>
    <w:p w14:paraId="0C0A489E" w14:textId="77777777" w:rsidR="009608ED" w:rsidRDefault="008E065E">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propose the following:</w:t>
      </w:r>
    </w:p>
    <w:p w14:paraId="767520DC" w14:textId="77777777" w:rsidR="009C1B0C" w:rsidRPr="009C1B0C" w:rsidRDefault="008E065E">
      <w:pPr>
        <w:pStyle w:val="TOC1"/>
        <w:rPr>
          <w:rFonts w:asciiTheme="minorHAnsi" w:eastAsiaTheme="minorEastAsia" w:hAnsiTheme="minorHAnsi" w:cstheme="minorBidi"/>
          <w:b w:val="0"/>
          <w:sz w:val="22"/>
          <w:lang w:val="en-GB" w:eastAsia="fi-FI"/>
        </w:rPr>
      </w:pPr>
      <w:r>
        <w:rPr>
          <w:b w:val="0"/>
          <w:bCs/>
        </w:rPr>
        <w:fldChar w:fldCharType="begin"/>
      </w:r>
      <w:r>
        <w:rPr>
          <w:bCs/>
        </w:rPr>
        <w:instrText xml:space="preserve"> TOC \f \n \p " " \t "Proposal;1" </w:instrText>
      </w:r>
      <w:r>
        <w:rPr>
          <w:b w:val="0"/>
          <w:bCs/>
        </w:rPr>
        <w:fldChar w:fldCharType="separate"/>
      </w:r>
      <w:r w:rsidR="009C1B0C">
        <w:t>Proposal 1</w:t>
      </w:r>
      <w:r w:rsidR="009C1B0C" w:rsidRPr="009C1B0C">
        <w:rPr>
          <w:rFonts w:asciiTheme="minorHAnsi" w:eastAsiaTheme="minorEastAsia" w:hAnsiTheme="minorHAnsi" w:cstheme="minorBidi"/>
          <w:b w:val="0"/>
          <w:sz w:val="22"/>
          <w:lang w:val="en-GB" w:eastAsia="fi-FI"/>
        </w:rPr>
        <w:tab/>
      </w:r>
      <w:r w:rsidR="009C1B0C">
        <w:t>MCG SRB is always configured.</w:t>
      </w:r>
    </w:p>
    <w:p w14:paraId="067A8AB7" w14:textId="77777777" w:rsidR="009C1B0C" w:rsidRPr="009C1B0C" w:rsidRDefault="009C1B0C">
      <w:pPr>
        <w:pStyle w:val="TOC1"/>
        <w:rPr>
          <w:rFonts w:asciiTheme="minorHAnsi" w:eastAsiaTheme="minorEastAsia" w:hAnsiTheme="minorHAnsi" w:cstheme="minorBidi"/>
          <w:b w:val="0"/>
          <w:sz w:val="22"/>
          <w:lang w:val="en-GB" w:eastAsia="fi-FI"/>
        </w:rPr>
      </w:pPr>
      <w:r>
        <w:t>Proposal 2</w:t>
      </w:r>
      <w:r w:rsidRPr="009C1B0C">
        <w:rPr>
          <w:rFonts w:asciiTheme="minorHAnsi" w:eastAsiaTheme="minorEastAsia" w:hAnsiTheme="minorHAnsi" w:cstheme="minorBidi"/>
          <w:b w:val="0"/>
          <w:sz w:val="22"/>
          <w:lang w:val="en-GB" w:eastAsia="fi-FI"/>
        </w:rPr>
        <w:tab/>
      </w:r>
      <w:r>
        <w:t>SCG SRB can be configured based on network decision.</w:t>
      </w:r>
    </w:p>
    <w:p w14:paraId="26284C73" w14:textId="77777777" w:rsidR="009C1B0C" w:rsidRPr="009C1B0C" w:rsidRDefault="009C1B0C">
      <w:pPr>
        <w:pStyle w:val="TOC1"/>
        <w:rPr>
          <w:rFonts w:asciiTheme="minorHAnsi" w:eastAsiaTheme="minorEastAsia" w:hAnsiTheme="minorHAnsi" w:cstheme="minorBidi"/>
          <w:b w:val="0"/>
          <w:sz w:val="22"/>
          <w:lang w:val="en-GB" w:eastAsia="fi-FI"/>
        </w:rPr>
      </w:pPr>
      <w:r>
        <w:t>Proposal 3</w:t>
      </w:r>
      <w:r w:rsidRPr="009C1B0C">
        <w:rPr>
          <w:rFonts w:asciiTheme="minorHAnsi" w:eastAsiaTheme="minorEastAsia" w:hAnsiTheme="minorHAnsi" w:cstheme="minorBidi"/>
          <w:b w:val="0"/>
          <w:sz w:val="22"/>
          <w:lang w:val="en-GB" w:eastAsia="fi-FI"/>
        </w:rPr>
        <w:tab/>
      </w:r>
      <w:r>
        <w:t>Addition of SCG SRB is decided by MN.</w:t>
      </w:r>
    </w:p>
    <w:p w14:paraId="73099391" w14:textId="77777777" w:rsidR="009C1B0C" w:rsidRPr="009C1B0C" w:rsidRDefault="009C1B0C">
      <w:pPr>
        <w:pStyle w:val="TOC1"/>
        <w:rPr>
          <w:rFonts w:asciiTheme="minorHAnsi" w:eastAsiaTheme="minorEastAsia" w:hAnsiTheme="minorHAnsi" w:cstheme="minorBidi"/>
          <w:b w:val="0"/>
          <w:sz w:val="22"/>
          <w:lang w:val="en-GB" w:eastAsia="fi-FI"/>
        </w:rPr>
      </w:pPr>
      <w:r>
        <w:t>Proposal 4</w:t>
      </w:r>
      <w:r w:rsidRPr="009C1B0C">
        <w:rPr>
          <w:rFonts w:asciiTheme="minorHAnsi" w:eastAsiaTheme="minorEastAsia" w:hAnsiTheme="minorHAnsi" w:cstheme="minorBidi"/>
          <w:b w:val="0"/>
          <w:sz w:val="22"/>
          <w:lang w:val="en-GB" w:eastAsia="fi-FI"/>
        </w:rPr>
        <w:tab/>
      </w:r>
      <w:r>
        <w:t>SCG SRB configuration is provided by NR RRC from SN.</w:t>
      </w:r>
    </w:p>
    <w:p w14:paraId="516F1FEE" w14:textId="77777777" w:rsidR="009C1B0C" w:rsidRPr="009C1B0C" w:rsidRDefault="009C1B0C">
      <w:pPr>
        <w:pStyle w:val="TOC1"/>
        <w:rPr>
          <w:rFonts w:asciiTheme="minorHAnsi" w:eastAsiaTheme="minorEastAsia" w:hAnsiTheme="minorHAnsi" w:cstheme="minorBidi"/>
          <w:b w:val="0"/>
          <w:sz w:val="22"/>
          <w:lang w:val="en-GB" w:eastAsia="fi-FI"/>
        </w:rPr>
      </w:pPr>
      <w:r>
        <w:t>Proposal 5</w:t>
      </w:r>
      <w:r w:rsidRPr="009C1B0C">
        <w:rPr>
          <w:rFonts w:asciiTheme="minorHAnsi" w:eastAsiaTheme="minorEastAsia" w:hAnsiTheme="minorHAnsi" w:cstheme="minorBidi"/>
          <w:b w:val="0"/>
          <w:sz w:val="22"/>
          <w:lang w:val="en-GB" w:eastAsia="fi-FI"/>
        </w:rPr>
        <w:tab/>
      </w:r>
      <w:r>
        <w:t>All LTE RRC messages are mapped to MCG SRB.</w:t>
      </w:r>
    </w:p>
    <w:p w14:paraId="2F28C9D9" w14:textId="77777777" w:rsidR="009C1B0C" w:rsidRPr="009C1B0C" w:rsidRDefault="009C1B0C">
      <w:pPr>
        <w:pStyle w:val="TOC1"/>
        <w:rPr>
          <w:rFonts w:asciiTheme="minorHAnsi" w:eastAsiaTheme="minorEastAsia" w:hAnsiTheme="minorHAnsi" w:cstheme="minorBidi"/>
          <w:b w:val="0"/>
          <w:sz w:val="22"/>
          <w:lang w:val="en-GB" w:eastAsia="fi-FI"/>
        </w:rPr>
      </w:pPr>
      <w:r>
        <w:t>Proposal 6</w:t>
      </w:r>
      <w:r w:rsidRPr="009C1B0C">
        <w:rPr>
          <w:rFonts w:asciiTheme="minorHAnsi" w:eastAsiaTheme="minorEastAsia" w:hAnsiTheme="minorHAnsi" w:cstheme="minorBidi"/>
          <w:b w:val="0"/>
          <w:sz w:val="22"/>
          <w:lang w:val="en-GB" w:eastAsia="fi-FI"/>
        </w:rPr>
        <w:tab/>
      </w:r>
      <w:r>
        <w:t>The specifications should describe the mapping of uplink NR RRC messages to MCG SRB or SCG SRB (if configured).</w:t>
      </w:r>
    </w:p>
    <w:p w14:paraId="4AD4623F" w14:textId="77777777" w:rsidR="009C1B0C" w:rsidRPr="009C1B0C" w:rsidRDefault="009C1B0C">
      <w:pPr>
        <w:pStyle w:val="TOC1"/>
        <w:rPr>
          <w:rFonts w:asciiTheme="minorHAnsi" w:eastAsiaTheme="minorEastAsia" w:hAnsiTheme="minorHAnsi" w:cstheme="minorBidi"/>
          <w:b w:val="0"/>
          <w:sz w:val="22"/>
          <w:lang w:val="en-GB" w:eastAsia="fi-FI"/>
        </w:rPr>
      </w:pPr>
      <w:r>
        <w:t>Proposal 7</w:t>
      </w:r>
      <w:r w:rsidRPr="009C1B0C">
        <w:rPr>
          <w:rFonts w:asciiTheme="minorHAnsi" w:eastAsiaTheme="minorEastAsia" w:hAnsiTheme="minorHAnsi" w:cstheme="minorBidi"/>
          <w:b w:val="0"/>
          <w:sz w:val="22"/>
          <w:lang w:val="en-GB" w:eastAsia="fi-FI"/>
        </w:rPr>
        <w:tab/>
      </w:r>
      <w:r>
        <w:t>Mapping of downlink NR RRC messages to MCG SRB or SCG SRB can be left to network implementation.</w:t>
      </w:r>
    </w:p>
    <w:p w14:paraId="50C9F19D" w14:textId="77777777" w:rsidR="009C1B0C" w:rsidRPr="009C1B0C" w:rsidRDefault="009C1B0C">
      <w:pPr>
        <w:pStyle w:val="TOC1"/>
        <w:rPr>
          <w:rFonts w:asciiTheme="minorHAnsi" w:eastAsiaTheme="minorEastAsia" w:hAnsiTheme="minorHAnsi" w:cstheme="minorBidi"/>
          <w:b w:val="0"/>
          <w:sz w:val="22"/>
          <w:lang w:val="en-GB" w:eastAsia="fi-FI"/>
        </w:rPr>
      </w:pPr>
      <w:r>
        <w:t>Proposal 8</w:t>
      </w:r>
      <w:r w:rsidRPr="009C1B0C">
        <w:rPr>
          <w:rFonts w:asciiTheme="minorHAnsi" w:eastAsiaTheme="minorEastAsia" w:hAnsiTheme="minorHAnsi" w:cstheme="minorBidi"/>
          <w:b w:val="0"/>
          <w:sz w:val="22"/>
          <w:lang w:val="en-GB" w:eastAsia="fi-FI"/>
        </w:rPr>
        <w:tab/>
      </w:r>
      <w:r>
        <w:t xml:space="preserve">Messages of Paging and RRC connection establishment, re-establishment, resume </w:t>
      </w:r>
      <w:r w:rsidRPr="00436126">
        <w:t xml:space="preserve">and release </w:t>
      </w:r>
      <w:r>
        <w:t>procedures are handled by LTE and thus mapped to MCG SRB.</w:t>
      </w:r>
    </w:p>
    <w:p w14:paraId="6E46EEFF" w14:textId="77777777" w:rsidR="009C1B0C" w:rsidRPr="009C1B0C" w:rsidRDefault="009C1B0C">
      <w:pPr>
        <w:pStyle w:val="TOC1"/>
        <w:rPr>
          <w:rFonts w:asciiTheme="minorHAnsi" w:eastAsiaTheme="minorEastAsia" w:hAnsiTheme="minorHAnsi" w:cstheme="minorBidi"/>
          <w:b w:val="0"/>
          <w:sz w:val="22"/>
          <w:lang w:val="en-GB" w:eastAsia="fi-FI"/>
        </w:rPr>
      </w:pPr>
      <w:r>
        <w:t>Proposal 9</w:t>
      </w:r>
      <w:r w:rsidRPr="009C1B0C">
        <w:rPr>
          <w:rFonts w:asciiTheme="minorHAnsi" w:eastAsiaTheme="minorEastAsia" w:hAnsiTheme="minorHAnsi" w:cstheme="minorBidi"/>
          <w:b w:val="0"/>
          <w:sz w:val="22"/>
          <w:lang w:val="en-GB" w:eastAsia="fi-FI"/>
        </w:rPr>
        <w:tab/>
      </w:r>
      <w:r>
        <w:t>Messages of Initial security activation procedures are handled by LTE RRC and thus mapped to MCG SRB.</w:t>
      </w:r>
    </w:p>
    <w:p w14:paraId="324B9A1C" w14:textId="77777777" w:rsidR="009C1B0C" w:rsidRPr="009C1B0C" w:rsidRDefault="009C1B0C">
      <w:pPr>
        <w:pStyle w:val="TOC1"/>
        <w:rPr>
          <w:rFonts w:asciiTheme="minorHAnsi" w:eastAsiaTheme="minorEastAsia" w:hAnsiTheme="minorHAnsi" w:cstheme="minorBidi"/>
          <w:b w:val="0"/>
          <w:sz w:val="22"/>
          <w:lang w:val="en-GB" w:eastAsia="fi-FI"/>
        </w:rPr>
      </w:pPr>
      <w:r>
        <w:t>Proposal 10</w:t>
      </w:r>
      <w:r w:rsidRPr="009C1B0C">
        <w:rPr>
          <w:rFonts w:asciiTheme="minorHAnsi" w:eastAsiaTheme="minorEastAsia" w:hAnsiTheme="minorHAnsi" w:cstheme="minorBidi"/>
          <w:b w:val="0"/>
          <w:sz w:val="22"/>
          <w:lang w:val="en-GB" w:eastAsia="fi-FI"/>
        </w:rPr>
        <w:tab/>
      </w:r>
      <w:r>
        <w:t>NR RRC complete messages are mapped to the same SRB as the message initiating the procedure.</w:t>
      </w:r>
    </w:p>
    <w:p w14:paraId="1963E630" w14:textId="77777777" w:rsidR="009C1B0C" w:rsidRPr="009C1B0C" w:rsidRDefault="009C1B0C">
      <w:pPr>
        <w:pStyle w:val="TOC1"/>
        <w:rPr>
          <w:rFonts w:asciiTheme="minorHAnsi" w:eastAsiaTheme="minorEastAsia" w:hAnsiTheme="minorHAnsi" w:cstheme="minorBidi"/>
          <w:b w:val="0"/>
          <w:sz w:val="22"/>
          <w:lang w:val="en-GB" w:eastAsia="fi-FI"/>
        </w:rPr>
      </w:pPr>
      <w:r>
        <w:t>Proposal 11</w:t>
      </w:r>
      <w:r w:rsidRPr="009C1B0C">
        <w:rPr>
          <w:rFonts w:asciiTheme="minorHAnsi" w:eastAsiaTheme="minorEastAsia" w:hAnsiTheme="minorHAnsi" w:cstheme="minorBidi"/>
          <w:b w:val="0"/>
          <w:sz w:val="22"/>
          <w:lang w:val="en-GB" w:eastAsia="fi-FI"/>
        </w:rPr>
        <w:tab/>
      </w:r>
      <w:r>
        <w:t>SCG failure information procedure is handled by LTE RRC and mapped to the MCG SRB.</w:t>
      </w:r>
    </w:p>
    <w:p w14:paraId="288273E4" w14:textId="77777777" w:rsidR="009C1B0C" w:rsidRPr="009C1B0C" w:rsidRDefault="009C1B0C">
      <w:pPr>
        <w:pStyle w:val="TOC1"/>
        <w:rPr>
          <w:rFonts w:asciiTheme="minorHAnsi" w:eastAsiaTheme="minorEastAsia" w:hAnsiTheme="minorHAnsi" w:cstheme="minorBidi"/>
          <w:b w:val="0"/>
          <w:sz w:val="22"/>
          <w:lang w:val="en-GB" w:eastAsia="fi-FI"/>
        </w:rPr>
      </w:pPr>
      <w:r>
        <w:t>Proposal 12</w:t>
      </w:r>
      <w:r w:rsidRPr="009C1B0C">
        <w:rPr>
          <w:rFonts w:asciiTheme="minorHAnsi" w:eastAsiaTheme="minorEastAsia" w:hAnsiTheme="minorHAnsi" w:cstheme="minorBidi"/>
          <w:b w:val="0"/>
          <w:sz w:val="22"/>
          <w:lang w:val="en-GB" w:eastAsia="fi-FI"/>
        </w:rPr>
        <w:tab/>
      </w:r>
      <w:r>
        <w:t>NR RRC measurement reports for intra or inter SN mobility are mapped to SCG SRB, if SCG SRB is configured. Otherwise, they are encapsulated in LTE RRC message and transmitted on MCG SRB, and forwarded to SeNB over Xn.</w:t>
      </w:r>
    </w:p>
    <w:p w14:paraId="5C6E36BA" w14:textId="40EA4566" w:rsidR="00C01F33" w:rsidRPr="00CE0424" w:rsidRDefault="008E065E" w:rsidP="006E062C">
      <w:r>
        <w:rPr>
          <w:b/>
          <w:bCs/>
        </w:rPr>
        <w:fldChar w:fldCharType="end"/>
      </w:r>
    </w:p>
    <w:p w14:paraId="0B366EDE" w14:textId="77777777" w:rsidR="00F507D1" w:rsidRPr="00CE0424" w:rsidRDefault="00F507D1" w:rsidP="00CE0424">
      <w:pPr>
        <w:pStyle w:val="Heading1"/>
      </w:pPr>
      <w:bookmarkStart w:id="86" w:name="_In-sequence_SDU_delivery"/>
      <w:bookmarkEnd w:id="86"/>
      <w:r w:rsidRPr="00CE0424">
        <w:t>References</w:t>
      </w:r>
    </w:p>
    <w:p w14:paraId="5A762B17" w14:textId="1FBC3018" w:rsidR="005F3025" w:rsidRDefault="009608ED" w:rsidP="00FA5A67">
      <w:pPr>
        <w:pStyle w:val="Reference"/>
      </w:pPr>
      <w:bookmarkStart w:id="87" w:name="_Ref478065548"/>
      <w:bookmarkStart w:id="88" w:name="_Ref174151459"/>
      <w:bookmarkStart w:id="89" w:name="_Ref189809556"/>
      <w:r>
        <w:t>R2-1702701, Secondary node change procedure; remaining issues, Ericsson</w:t>
      </w:r>
      <w:bookmarkEnd w:id="87"/>
    </w:p>
    <w:bookmarkEnd w:id="88"/>
    <w:bookmarkEnd w:id="89"/>
    <w:p w14:paraId="7796EEF6" w14:textId="382E863F" w:rsidR="00BD121B" w:rsidRDefault="00BD121B" w:rsidP="00BD121B">
      <w:pPr>
        <w:pStyle w:val="Heading1"/>
      </w:pPr>
      <w:r>
        <w:t>Annex: Agreements from SI phase</w:t>
      </w:r>
    </w:p>
    <w:p w14:paraId="4717C450" w14:textId="77777777" w:rsidR="00BD121B" w:rsidRDefault="00BD121B" w:rsidP="00BD121B">
      <w:pPr>
        <w:pStyle w:val="BodyText"/>
      </w:pPr>
      <w:r>
        <w:t>In RAN2#97, the following agreements were made:</w:t>
      </w:r>
    </w:p>
    <w:p w14:paraId="75D31C0F" w14:textId="77777777" w:rsidR="00BD121B" w:rsidRDefault="00BD121B" w:rsidP="00BD121B">
      <w:pPr>
        <w:pStyle w:val="Doc-text2"/>
        <w:pBdr>
          <w:top w:val="single" w:sz="4" w:space="1" w:color="auto"/>
          <w:left w:val="single" w:sz="4" w:space="4" w:color="auto"/>
          <w:bottom w:val="single" w:sz="4" w:space="1" w:color="auto"/>
          <w:right w:val="single" w:sz="4" w:space="4" w:color="auto"/>
        </w:pBdr>
      </w:pPr>
      <w:r>
        <w:t>Agreements</w:t>
      </w:r>
    </w:p>
    <w:p w14:paraId="3EE853F9" w14:textId="77777777" w:rsidR="00BD121B" w:rsidRDefault="00BD121B" w:rsidP="00BD121B">
      <w:pPr>
        <w:pStyle w:val="Doc-text2"/>
        <w:pBdr>
          <w:top w:val="single" w:sz="4" w:space="1" w:color="auto"/>
          <w:left w:val="single" w:sz="4" w:space="4" w:color="auto"/>
          <w:bottom w:val="single" w:sz="4" w:space="1" w:color="auto"/>
          <w:right w:val="single" w:sz="4" w:space="4" w:color="auto"/>
        </w:pBdr>
      </w:pPr>
      <w:r>
        <w:t>1:</w:t>
      </w:r>
      <w:r>
        <w:tab/>
        <w:t>For the SN/MN RRC reconfiguration requiring also MN/SN RRC reconfiguration, a MN RRC message is delivered with an embedded SN RRC message.</w:t>
      </w:r>
    </w:p>
    <w:p w14:paraId="71EA6047" w14:textId="77777777" w:rsidR="00BD121B" w:rsidRDefault="00BD121B" w:rsidP="00BD121B">
      <w:pPr>
        <w:pStyle w:val="Doc-text2"/>
        <w:pBdr>
          <w:top w:val="single" w:sz="4" w:space="1" w:color="auto"/>
          <w:left w:val="single" w:sz="4" w:space="4" w:color="auto"/>
          <w:bottom w:val="single" w:sz="4" w:space="1" w:color="auto"/>
          <w:right w:val="single" w:sz="4" w:space="4" w:color="auto"/>
        </w:pBdr>
      </w:pPr>
    </w:p>
    <w:p w14:paraId="477C886A" w14:textId="77777777" w:rsidR="00BD121B" w:rsidRDefault="00BD121B" w:rsidP="00BD121B">
      <w:pPr>
        <w:pStyle w:val="Doc-text2"/>
        <w:pBdr>
          <w:top w:val="single" w:sz="4" w:space="1" w:color="auto"/>
          <w:left w:val="single" w:sz="4" w:space="4" w:color="auto"/>
          <w:bottom w:val="single" w:sz="4" w:space="1" w:color="auto"/>
          <w:right w:val="single" w:sz="4" w:space="4" w:color="auto"/>
        </w:pBdr>
      </w:pPr>
      <w:r>
        <w:t>2</w:t>
      </w:r>
      <w:r>
        <w:tab/>
        <w:t>UE can be configured with an SCG SRB to allow SN RRC messages to be sent directly between UE and SN.</w:t>
      </w:r>
    </w:p>
    <w:p w14:paraId="0F8A37D5" w14:textId="77777777" w:rsidR="00BD121B" w:rsidRDefault="00BD121B" w:rsidP="00BD121B">
      <w:pPr>
        <w:pStyle w:val="Doc-text2"/>
        <w:pBdr>
          <w:top w:val="single" w:sz="4" w:space="1" w:color="auto"/>
          <w:left w:val="single" w:sz="4" w:space="4" w:color="auto"/>
          <w:bottom w:val="single" w:sz="4" w:space="1" w:color="auto"/>
          <w:right w:val="single" w:sz="4" w:space="4" w:color="auto"/>
        </w:pBdr>
      </w:pPr>
    </w:p>
    <w:p w14:paraId="448C9A61" w14:textId="77777777" w:rsidR="00BD121B" w:rsidRDefault="00BD121B" w:rsidP="00BD121B">
      <w:pPr>
        <w:pStyle w:val="Doc-text2"/>
        <w:pBdr>
          <w:top w:val="single" w:sz="4" w:space="1" w:color="auto"/>
          <w:left w:val="single" w:sz="4" w:space="4" w:color="auto"/>
          <w:bottom w:val="single" w:sz="4" w:space="1" w:color="auto"/>
          <w:right w:val="single" w:sz="4" w:space="4" w:color="auto"/>
        </w:pBdr>
      </w:pPr>
      <w:r>
        <w:t>3:</w:t>
      </w:r>
      <w:r>
        <w:tab/>
        <w:t>For SN RRC reconfigurations not requiring any coordination with MN then SN RRC messages can be transported directly to the UE (or eNB implementation can be deliver it embedded within a MN RRC message)</w:t>
      </w:r>
    </w:p>
    <w:p w14:paraId="610B5753" w14:textId="77777777" w:rsidR="00BD121B" w:rsidRDefault="00BD121B" w:rsidP="00BD121B">
      <w:pPr>
        <w:pStyle w:val="Doc-text2"/>
        <w:pBdr>
          <w:top w:val="single" w:sz="4" w:space="1" w:color="auto"/>
          <w:left w:val="single" w:sz="4" w:space="4" w:color="auto"/>
          <w:bottom w:val="single" w:sz="4" w:space="1" w:color="auto"/>
          <w:right w:val="single" w:sz="4" w:space="4" w:color="auto"/>
        </w:pBdr>
      </w:pPr>
    </w:p>
    <w:p w14:paraId="0B21EE10" w14:textId="77777777" w:rsidR="00BD121B" w:rsidRDefault="00BD121B" w:rsidP="00BD121B">
      <w:pPr>
        <w:pStyle w:val="Doc-text2"/>
        <w:pBdr>
          <w:top w:val="single" w:sz="4" w:space="1" w:color="auto"/>
          <w:left w:val="single" w:sz="4" w:space="4" w:color="auto"/>
          <w:bottom w:val="single" w:sz="4" w:space="1" w:color="auto"/>
          <w:right w:val="single" w:sz="4" w:space="4" w:color="auto"/>
        </w:pBdr>
      </w:pPr>
      <w:r>
        <w:t>4</w:t>
      </w:r>
      <w:r>
        <w:tab/>
        <w:t xml:space="preserve">Measurement reporting for mobility within the SN can be transported in SN RRC messages </w:t>
      </w:r>
      <w:r w:rsidRPr="009715B0">
        <w:t xml:space="preserve">directly </w:t>
      </w:r>
      <w:r>
        <w:t>from UE to SN, if SCG SRB is configured. Detail rules for UE to select transmission path for UL message to be defined in WI.</w:t>
      </w:r>
    </w:p>
    <w:p w14:paraId="2FB6864C" w14:textId="77777777" w:rsidR="00BD121B" w:rsidRDefault="00BD121B" w:rsidP="00BD121B">
      <w:pPr>
        <w:pStyle w:val="Doc-text2"/>
        <w:pBdr>
          <w:top w:val="single" w:sz="4" w:space="1" w:color="auto"/>
          <w:left w:val="single" w:sz="4" w:space="4" w:color="auto"/>
          <w:bottom w:val="single" w:sz="4" w:space="1" w:color="auto"/>
          <w:right w:val="single" w:sz="4" w:space="4" w:color="auto"/>
        </w:pBdr>
      </w:pPr>
    </w:p>
    <w:p w14:paraId="084AEB14" w14:textId="77777777" w:rsidR="00BD121B" w:rsidRDefault="00BD121B" w:rsidP="00BD121B">
      <w:pPr>
        <w:pStyle w:val="Doc-text2"/>
        <w:pBdr>
          <w:top w:val="single" w:sz="4" w:space="1" w:color="auto"/>
          <w:left w:val="single" w:sz="4" w:space="4" w:color="auto"/>
          <w:bottom w:val="single" w:sz="4" w:space="1" w:color="auto"/>
          <w:right w:val="single" w:sz="4" w:space="4" w:color="auto"/>
        </w:pBdr>
      </w:pPr>
      <w:r>
        <w:t>5</w:t>
      </w:r>
      <w:r>
        <w:tab/>
        <w:t>These agreement do not imply that the UE has to do any reordering of RRC messages.</w:t>
      </w:r>
    </w:p>
    <w:p w14:paraId="0DD5369F" w14:textId="77777777" w:rsidR="00BD121B" w:rsidRPr="00BD121B" w:rsidRDefault="00BD121B" w:rsidP="00BD121B"/>
    <w:sectPr w:rsidR="00BD121B" w:rsidRPr="00BD121B">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686AA2" w14:textId="77777777" w:rsidR="009E6071" w:rsidRDefault="009E6071">
      <w:r>
        <w:separator/>
      </w:r>
    </w:p>
  </w:endnote>
  <w:endnote w:type="continuationSeparator" w:id="0">
    <w:p w14:paraId="39C35967" w14:textId="77777777" w:rsidR="009E6071" w:rsidRDefault="009E6071">
      <w:r>
        <w:continuationSeparator/>
      </w:r>
    </w:p>
  </w:endnote>
  <w:endnote w:type="continuationNotice" w:id="1">
    <w:p w14:paraId="1EDC3796" w14:textId="77777777" w:rsidR="009E6071" w:rsidRDefault="009E60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A40FC" w14:textId="477E04B6" w:rsidR="00333924" w:rsidRDefault="003339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C1B0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C1B0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FF8911" w14:textId="77777777" w:rsidR="009E6071" w:rsidRDefault="009E6071">
      <w:r>
        <w:separator/>
      </w:r>
    </w:p>
  </w:footnote>
  <w:footnote w:type="continuationSeparator" w:id="0">
    <w:p w14:paraId="59F3CAC9" w14:textId="77777777" w:rsidR="009E6071" w:rsidRDefault="009E6071">
      <w:r>
        <w:continuationSeparator/>
      </w:r>
    </w:p>
  </w:footnote>
  <w:footnote w:type="continuationNotice" w:id="1">
    <w:p w14:paraId="31304D0A" w14:textId="77777777" w:rsidR="009E6071" w:rsidRDefault="009E60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509CF" w14:textId="77777777" w:rsidR="00333924" w:rsidRDefault="003339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39F4"/>
    <w:rsid w:val="00006446"/>
    <w:rsid w:val="00006896"/>
    <w:rsid w:val="00007CDC"/>
    <w:rsid w:val="00011B28"/>
    <w:rsid w:val="00015D15"/>
    <w:rsid w:val="00016786"/>
    <w:rsid w:val="0002564D"/>
    <w:rsid w:val="00025ECA"/>
    <w:rsid w:val="00031A1B"/>
    <w:rsid w:val="000325B8"/>
    <w:rsid w:val="00034C15"/>
    <w:rsid w:val="00036BA1"/>
    <w:rsid w:val="000422E2"/>
    <w:rsid w:val="00042F22"/>
    <w:rsid w:val="000444EF"/>
    <w:rsid w:val="00052A07"/>
    <w:rsid w:val="000534E3"/>
    <w:rsid w:val="0005606A"/>
    <w:rsid w:val="00057117"/>
    <w:rsid w:val="000616E7"/>
    <w:rsid w:val="00063EDD"/>
    <w:rsid w:val="0006487E"/>
    <w:rsid w:val="00065E1A"/>
    <w:rsid w:val="0006608B"/>
    <w:rsid w:val="00077E5F"/>
    <w:rsid w:val="0008036A"/>
    <w:rsid w:val="00081AE6"/>
    <w:rsid w:val="000855EB"/>
    <w:rsid w:val="00085B52"/>
    <w:rsid w:val="000866F2"/>
    <w:rsid w:val="0009009F"/>
    <w:rsid w:val="00091557"/>
    <w:rsid w:val="000924C1"/>
    <w:rsid w:val="000924F0"/>
    <w:rsid w:val="000930D3"/>
    <w:rsid w:val="00093474"/>
    <w:rsid w:val="0009510F"/>
    <w:rsid w:val="000A1B7B"/>
    <w:rsid w:val="000A56F2"/>
    <w:rsid w:val="000A6813"/>
    <w:rsid w:val="000B2719"/>
    <w:rsid w:val="000B3A8F"/>
    <w:rsid w:val="000B4AB9"/>
    <w:rsid w:val="000B58C3"/>
    <w:rsid w:val="000B61E9"/>
    <w:rsid w:val="000C165A"/>
    <w:rsid w:val="000C2E19"/>
    <w:rsid w:val="000C31E3"/>
    <w:rsid w:val="000D0280"/>
    <w:rsid w:val="000D0D07"/>
    <w:rsid w:val="000D4797"/>
    <w:rsid w:val="000E0527"/>
    <w:rsid w:val="000E1E92"/>
    <w:rsid w:val="000F06D6"/>
    <w:rsid w:val="000F0EB1"/>
    <w:rsid w:val="000F1106"/>
    <w:rsid w:val="000F3BE9"/>
    <w:rsid w:val="000F3F6C"/>
    <w:rsid w:val="000F6DF3"/>
    <w:rsid w:val="001005FF"/>
    <w:rsid w:val="00103BCB"/>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0B63"/>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0426"/>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A3"/>
    <w:rsid w:val="002435B3"/>
    <w:rsid w:val="002458EB"/>
    <w:rsid w:val="002500C8"/>
    <w:rsid w:val="00257543"/>
    <w:rsid w:val="002617E7"/>
    <w:rsid w:val="00264228"/>
    <w:rsid w:val="00264334"/>
    <w:rsid w:val="0026473E"/>
    <w:rsid w:val="00266214"/>
    <w:rsid w:val="00266410"/>
    <w:rsid w:val="00267C83"/>
    <w:rsid w:val="0027144F"/>
    <w:rsid w:val="00271F3A"/>
    <w:rsid w:val="00273278"/>
    <w:rsid w:val="002737F4"/>
    <w:rsid w:val="002805F5"/>
    <w:rsid w:val="00280751"/>
    <w:rsid w:val="0028280A"/>
    <w:rsid w:val="00284CCD"/>
    <w:rsid w:val="00286ACD"/>
    <w:rsid w:val="00287838"/>
    <w:rsid w:val="002907B5"/>
    <w:rsid w:val="00291AA1"/>
    <w:rsid w:val="00292EB7"/>
    <w:rsid w:val="00296227"/>
    <w:rsid w:val="00296F44"/>
    <w:rsid w:val="0029777D"/>
    <w:rsid w:val="002A055E"/>
    <w:rsid w:val="002A1D4E"/>
    <w:rsid w:val="002A2869"/>
    <w:rsid w:val="002A3737"/>
    <w:rsid w:val="002B24D6"/>
    <w:rsid w:val="002C41E6"/>
    <w:rsid w:val="002C4D52"/>
    <w:rsid w:val="002D071A"/>
    <w:rsid w:val="002D34B2"/>
    <w:rsid w:val="002D73E0"/>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274E2"/>
    <w:rsid w:val="00331751"/>
    <w:rsid w:val="00333924"/>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86149"/>
    <w:rsid w:val="003939FF"/>
    <w:rsid w:val="003A2223"/>
    <w:rsid w:val="003A2A0F"/>
    <w:rsid w:val="003A45A1"/>
    <w:rsid w:val="003A5B0A"/>
    <w:rsid w:val="003A6BAC"/>
    <w:rsid w:val="003A7EF3"/>
    <w:rsid w:val="003B00A5"/>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3F6F94"/>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120"/>
    <w:rsid w:val="004B7C0C"/>
    <w:rsid w:val="004C3898"/>
    <w:rsid w:val="004D36B1"/>
    <w:rsid w:val="004D7EBD"/>
    <w:rsid w:val="004E2680"/>
    <w:rsid w:val="004E28F9"/>
    <w:rsid w:val="004E462E"/>
    <w:rsid w:val="004E56DC"/>
    <w:rsid w:val="004E76F4"/>
    <w:rsid w:val="004F0B4E"/>
    <w:rsid w:val="004F0B6C"/>
    <w:rsid w:val="004F2078"/>
    <w:rsid w:val="004F4DA3"/>
    <w:rsid w:val="0050385E"/>
    <w:rsid w:val="00506557"/>
    <w:rsid w:val="0050677A"/>
    <w:rsid w:val="005108D8"/>
    <w:rsid w:val="005116F9"/>
    <w:rsid w:val="005153A7"/>
    <w:rsid w:val="005219CF"/>
    <w:rsid w:val="00534B59"/>
    <w:rsid w:val="00536759"/>
    <w:rsid w:val="00537C62"/>
    <w:rsid w:val="00546970"/>
    <w:rsid w:val="00554E19"/>
    <w:rsid w:val="00556246"/>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3BDA"/>
    <w:rsid w:val="005E385F"/>
    <w:rsid w:val="005E5B81"/>
    <w:rsid w:val="005F2CB1"/>
    <w:rsid w:val="005F3025"/>
    <w:rsid w:val="005F618C"/>
    <w:rsid w:val="005F70BD"/>
    <w:rsid w:val="0060283C"/>
    <w:rsid w:val="00604F14"/>
    <w:rsid w:val="00611B83"/>
    <w:rsid w:val="00612CB0"/>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26"/>
    <w:rsid w:val="0067218F"/>
    <w:rsid w:val="006741F2"/>
    <w:rsid w:val="00674CC3"/>
    <w:rsid w:val="00675C72"/>
    <w:rsid w:val="006771F9"/>
    <w:rsid w:val="006776D7"/>
    <w:rsid w:val="00681003"/>
    <w:rsid w:val="006817C9"/>
    <w:rsid w:val="006825F4"/>
    <w:rsid w:val="00683ECE"/>
    <w:rsid w:val="00684BA6"/>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01AB"/>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539E"/>
    <w:rsid w:val="007571E1"/>
    <w:rsid w:val="007604B2"/>
    <w:rsid w:val="00765281"/>
    <w:rsid w:val="007661CE"/>
    <w:rsid w:val="00766BAD"/>
    <w:rsid w:val="007730BD"/>
    <w:rsid w:val="007755F2"/>
    <w:rsid w:val="00776971"/>
    <w:rsid w:val="0078177E"/>
    <w:rsid w:val="0078304C"/>
    <w:rsid w:val="00783673"/>
    <w:rsid w:val="00785490"/>
    <w:rsid w:val="00792265"/>
    <w:rsid w:val="007925EA"/>
    <w:rsid w:val="00793CD8"/>
    <w:rsid w:val="00795C92"/>
    <w:rsid w:val="00796231"/>
    <w:rsid w:val="007A1CB3"/>
    <w:rsid w:val="007A306F"/>
    <w:rsid w:val="007A43A6"/>
    <w:rsid w:val="007A58A6"/>
    <w:rsid w:val="007B3D2D"/>
    <w:rsid w:val="007B50AE"/>
    <w:rsid w:val="007B51DF"/>
    <w:rsid w:val="007C05DD"/>
    <w:rsid w:val="007C11C9"/>
    <w:rsid w:val="007C3D18"/>
    <w:rsid w:val="007C60BF"/>
    <w:rsid w:val="007C6A07"/>
    <w:rsid w:val="007C75A1"/>
    <w:rsid w:val="007C77A5"/>
    <w:rsid w:val="007D04E5"/>
    <w:rsid w:val="007D5901"/>
    <w:rsid w:val="007D7526"/>
    <w:rsid w:val="007E4610"/>
    <w:rsid w:val="007E4715"/>
    <w:rsid w:val="007E505B"/>
    <w:rsid w:val="007E5181"/>
    <w:rsid w:val="007E7091"/>
    <w:rsid w:val="00803FAE"/>
    <w:rsid w:val="0080605F"/>
    <w:rsid w:val="0080716E"/>
    <w:rsid w:val="00807786"/>
    <w:rsid w:val="00811FCB"/>
    <w:rsid w:val="00812336"/>
    <w:rsid w:val="008158D6"/>
    <w:rsid w:val="00817196"/>
    <w:rsid w:val="008235DB"/>
    <w:rsid w:val="00824AB4"/>
    <w:rsid w:val="00825C42"/>
    <w:rsid w:val="00825D25"/>
    <w:rsid w:val="00827D6F"/>
    <w:rsid w:val="008376AC"/>
    <w:rsid w:val="008444E8"/>
    <w:rsid w:val="00844E80"/>
    <w:rsid w:val="00846FE7"/>
    <w:rsid w:val="00854F97"/>
    <w:rsid w:val="00856911"/>
    <w:rsid w:val="00864C54"/>
    <w:rsid w:val="008677FD"/>
    <w:rsid w:val="008706D4"/>
    <w:rsid w:val="00870F8A"/>
    <w:rsid w:val="008719A4"/>
    <w:rsid w:val="00871D23"/>
    <w:rsid w:val="00874312"/>
    <w:rsid w:val="0087437C"/>
    <w:rsid w:val="00875CD7"/>
    <w:rsid w:val="00876B4D"/>
    <w:rsid w:val="00877F18"/>
    <w:rsid w:val="00880190"/>
    <w:rsid w:val="00883045"/>
    <w:rsid w:val="008870C9"/>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447"/>
    <w:rsid w:val="008E065E"/>
    <w:rsid w:val="008E0927"/>
    <w:rsid w:val="008E1909"/>
    <w:rsid w:val="008E346F"/>
    <w:rsid w:val="008F1EAB"/>
    <w:rsid w:val="008F33DC"/>
    <w:rsid w:val="008F477F"/>
    <w:rsid w:val="00902350"/>
    <w:rsid w:val="0090336B"/>
    <w:rsid w:val="00904D08"/>
    <w:rsid w:val="009053AA"/>
    <w:rsid w:val="00906939"/>
    <w:rsid w:val="00910B7D"/>
    <w:rsid w:val="00911DFB"/>
    <w:rsid w:val="009139D9"/>
    <w:rsid w:val="00914AD8"/>
    <w:rsid w:val="00914DB8"/>
    <w:rsid w:val="00916079"/>
    <w:rsid w:val="00917CE9"/>
    <w:rsid w:val="00920BF2"/>
    <w:rsid w:val="009213AE"/>
    <w:rsid w:val="00922010"/>
    <w:rsid w:val="00931BD9"/>
    <w:rsid w:val="0093526A"/>
    <w:rsid w:val="009368F3"/>
    <w:rsid w:val="00940629"/>
    <w:rsid w:val="00941636"/>
    <w:rsid w:val="00943742"/>
    <w:rsid w:val="00945C05"/>
    <w:rsid w:val="00946945"/>
    <w:rsid w:val="00947713"/>
    <w:rsid w:val="00950DE7"/>
    <w:rsid w:val="00953920"/>
    <w:rsid w:val="00953D47"/>
    <w:rsid w:val="0095681E"/>
    <w:rsid w:val="009572D4"/>
    <w:rsid w:val="009608ED"/>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112"/>
    <w:rsid w:val="009B1F30"/>
    <w:rsid w:val="009B3AC2"/>
    <w:rsid w:val="009B4DF4"/>
    <w:rsid w:val="009B564E"/>
    <w:rsid w:val="009B7E87"/>
    <w:rsid w:val="009C0A97"/>
    <w:rsid w:val="009C1B0C"/>
    <w:rsid w:val="009C403E"/>
    <w:rsid w:val="009D4FF0"/>
    <w:rsid w:val="009D703C"/>
    <w:rsid w:val="009D718F"/>
    <w:rsid w:val="009E068F"/>
    <w:rsid w:val="009E14E0"/>
    <w:rsid w:val="009E35DB"/>
    <w:rsid w:val="009E47A3"/>
    <w:rsid w:val="009E6071"/>
    <w:rsid w:val="009E64AF"/>
    <w:rsid w:val="009F08F3"/>
    <w:rsid w:val="009F307A"/>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3A7A"/>
    <w:rsid w:val="00A657D7"/>
    <w:rsid w:val="00A660AC"/>
    <w:rsid w:val="00A67E6C"/>
    <w:rsid w:val="00A71B99"/>
    <w:rsid w:val="00A739D0"/>
    <w:rsid w:val="00A75225"/>
    <w:rsid w:val="00A761D4"/>
    <w:rsid w:val="00A77EC4"/>
    <w:rsid w:val="00A9049A"/>
    <w:rsid w:val="00A9208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15A"/>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09C"/>
    <w:rsid w:val="00B41888"/>
    <w:rsid w:val="00B45A52"/>
    <w:rsid w:val="00B46175"/>
    <w:rsid w:val="00B472DA"/>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121B"/>
    <w:rsid w:val="00BD48AC"/>
    <w:rsid w:val="00BD4EF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5EEC"/>
    <w:rsid w:val="00C07377"/>
    <w:rsid w:val="00C10478"/>
    <w:rsid w:val="00C12107"/>
    <w:rsid w:val="00C14D4B"/>
    <w:rsid w:val="00C154BB"/>
    <w:rsid w:val="00C24345"/>
    <w:rsid w:val="00C25CE4"/>
    <w:rsid w:val="00C279B5"/>
    <w:rsid w:val="00C27C45"/>
    <w:rsid w:val="00C3386B"/>
    <w:rsid w:val="00C3719D"/>
    <w:rsid w:val="00C54995"/>
    <w:rsid w:val="00C54D41"/>
    <w:rsid w:val="00C60783"/>
    <w:rsid w:val="00C64672"/>
    <w:rsid w:val="00C70697"/>
    <w:rsid w:val="00C72EF4"/>
    <w:rsid w:val="00C75D2F"/>
    <w:rsid w:val="00C767BE"/>
    <w:rsid w:val="00C76E3C"/>
    <w:rsid w:val="00C81568"/>
    <w:rsid w:val="00C856E5"/>
    <w:rsid w:val="00C9027A"/>
    <w:rsid w:val="00C9068E"/>
    <w:rsid w:val="00C91581"/>
    <w:rsid w:val="00C93C4B"/>
    <w:rsid w:val="00C944AB"/>
    <w:rsid w:val="00C95B40"/>
    <w:rsid w:val="00CA1ED8"/>
    <w:rsid w:val="00CB1F63"/>
    <w:rsid w:val="00CB7170"/>
    <w:rsid w:val="00CC040E"/>
    <w:rsid w:val="00CC111F"/>
    <w:rsid w:val="00CC2011"/>
    <w:rsid w:val="00CC3EA0"/>
    <w:rsid w:val="00CC7404"/>
    <w:rsid w:val="00CC7B45"/>
    <w:rsid w:val="00CD1188"/>
    <w:rsid w:val="00CD2ED1"/>
    <w:rsid w:val="00CD337B"/>
    <w:rsid w:val="00CE0424"/>
    <w:rsid w:val="00CE7561"/>
    <w:rsid w:val="00CF1354"/>
    <w:rsid w:val="00CF3B1F"/>
    <w:rsid w:val="00CF3BF6"/>
    <w:rsid w:val="00CF625B"/>
    <w:rsid w:val="00CF687E"/>
    <w:rsid w:val="00CF68EE"/>
    <w:rsid w:val="00D0349B"/>
    <w:rsid w:val="00D10249"/>
    <w:rsid w:val="00D10283"/>
    <w:rsid w:val="00D115C3"/>
    <w:rsid w:val="00D11897"/>
    <w:rsid w:val="00D13135"/>
    <w:rsid w:val="00D13E4E"/>
    <w:rsid w:val="00D239A7"/>
    <w:rsid w:val="00D23F47"/>
    <w:rsid w:val="00D362AC"/>
    <w:rsid w:val="00D36E71"/>
    <w:rsid w:val="00D3761B"/>
    <w:rsid w:val="00D37D87"/>
    <w:rsid w:val="00D40B33"/>
    <w:rsid w:val="00D4318F"/>
    <w:rsid w:val="00D438BF"/>
    <w:rsid w:val="00D440F8"/>
    <w:rsid w:val="00D50F97"/>
    <w:rsid w:val="00D546FF"/>
    <w:rsid w:val="00D55AD5"/>
    <w:rsid w:val="00D576CA"/>
    <w:rsid w:val="00D61AF5"/>
    <w:rsid w:val="00D652B5"/>
    <w:rsid w:val="00D66155"/>
    <w:rsid w:val="00D6621D"/>
    <w:rsid w:val="00D708B0"/>
    <w:rsid w:val="00D728F9"/>
    <w:rsid w:val="00D77B1D"/>
    <w:rsid w:val="00D8021F"/>
    <w:rsid w:val="00D80383"/>
    <w:rsid w:val="00D8205B"/>
    <w:rsid w:val="00D823C6"/>
    <w:rsid w:val="00D86CA3"/>
    <w:rsid w:val="00D871CE"/>
    <w:rsid w:val="00D9104C"/>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1E68"/>
    <w:rsid w:val="00DF37A0"/>
    <w:rsid w:val="00E110E7"/>
    <w:rsid w:val="00E11B20"/>
    <w:rsid w:val="00E17FA2"/>
    <w:rsid w:val="00E22330"/>
    <w:rsid w:val="00E30B5A"/>
    <w:rsid w:val="00E3123D"/>
    <w:rsid w:val="00E31386"/>
    <w:rsid w:val="00E31461"/>
    <w:rsid w:val="00E31D43"/>
    <w:rsid w:val="00E32608"/>
    <w:rsid w:val="00E34188"/>
    <w:rsid w:val="00E34B6E"/>
    <w:rsid w:val="00E35559"/>
    <w:rsid w:val="00E3723A"/>
    <w:rsid w:val="00E37860"/>
    <w:rsid w:val="00E446F1"/>
    <w:rsid w:val="00E45743"/>
    <w:rsid w:val="00E46886"/>
    <w:rsid w:val="00E47AEF"/>
    <w:rsid w:val="00E506F6"/>
    <w:rsid w:val="00E52C5D"/>
    <w:rsid w:val="00E53B75"/>
    <w:rsid w:val="00E54E3B"/>
    <w:rsid w:val="00E57565"/>
    <w:rsid w:val="00E637E7"/>
    <w:rsid w:val="00E63838"/>
    <w:rsid w:val="00E64434"/>
    <w:rsid w:val="00E67C51"/>
    <w:rsid w:val="00E71760"/>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1A9C"/>
    <w:rsid w:val="00EE35C9"/>
    <w:rsid w:val="00EF093A"/>
    <w:rsid w:val="00EF18FE"/>
    <w:rsid w:val="00EF5787"/>
    <w:rsid w:val="00EF60D0"/>
    <w:rsid w:val="00F0528D"/>
    <w:rsid w:val="00F06C67"/>
    <w:rsid w:val="00F06DFD"/>
    <w:rsid w:val="00F071D1"/>
    <w:rsid w:val="00F07533"/>
    <w:rsid w:val="00F10629"/>
    <w:rsid w:val="00F11AB7"/>
    <w:rsid w:val="00F15FA5"/>
    <w:rsid w:val="00F209B7"/>
    <w:rsid w:val="00F2376F"/>
    <w:rsid w:val="00F243D8"/>
    <w:rsid w:val="00F30828"/>
    <w:rsid w:val="00F313D6"/>
    <w:rsid w:val="00F40F0C"/>
    <w:rsid w:val="00F4766C"/>
    <w:rsid w:val="00F507D1"/>
    <w:rsid w:val="00F519CE"/>
    <w:rsid w:val="00F51ADA"/>
    <w:rsid w:val="00F54DB8"/>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82D"/>
    <w:rsid w:val="00F8456C"/>
    <w:rsid w:val="00F859D8"/>
    <w:rsid w:val="00F868F5"/>
    <w:rsid w:val="00F9056A"/>
    <w:rsid w:val="00F90F8D"/>
    <w:rsid w:val="00F92782"/>
    <w:rsid w:val="00F93AA9"/>
    <w:rsid w:val="00F9692D"/>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7512BC48"/>
  <w15:docId w15:val="{20EC9484-94BE-47F4-9406-3740BD434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7176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717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717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71760"/>
    <w:pPr>
      <w:numPr>
        <w:ilvl w:val="2"/>
      </w:numPr>
      <w:spacing w:before="120"/>
      <w:outlineLvl w:val="2"/>
    </w:pPr>
    <w:rPr>
      <w:sz w:val="28"/>
      <w:szCs w:val="28"/>
    </w:rPr>
  </w:style>
  <w:style w:type="paragraph" w:styleId="Heading4">
    <w:name w:val="heading 4"/>
    <w:basedOn w:val="Heading3"/>
    <w:next w:val="Normal"/>
    <w:qFormat/>
    <w:rsid w:val="00E71760"/>
    <w:pPr>
      <w:numPr>
        <w:ilvl w:val="3"/>
      </w:numPr>
      <w:outlineLvl w:val="3"/>
    </w:pPr>
    <w:rPr>
      <w:sz w:val="24"/>
      <w:szCs w:val="24"/>
    </w:rPr>
  </w:style>
  <w:style w:type="paragraph" w:styleId="Heading5">
    <w:name w:val="heading 5"/>
    <w:basedOn w:val="Heading4"/>
    <w:next w:val="Normal"/>
    <w:qFormat/>
    <w:rsid w:val="00E71760"/>
    <w:pPr>
      <w:numPr>
        <w:ilvl w:val="4"/>
      </w:numPr>
      <w:outlineLvl w:val="4"/>
    </w:pPr>
    <w:rPr>
      <w:sz w:val="22"/>
      <w:szCs w:val="22"/>
    </w:rPr>
  </w:style>
  <w:style w:type="paragraph" w:styleId="Heading6">
    <w:name w:val="heading 6"/>
    <w:basedOn w:val="Normal"/>
    <w:next w:val="Normal"/>
    <w:qFormat/>
    <w:rsid w:val="00E71760"/>
    <w:pPr>
      <w:keepNext/>
      <w:keepLines/>
      <w:numPr>
        <w:ilvl w:val="5"/>
        <w:numId w:val="1"/>
      </w:numPr>
      <w:spacing w:before="120"/>
      <w:outlineLvl w:val="5"/>
    </w:pPr>
    <w:rPr>
      <w:rFonts w:cs="Arial"/>
    </w:rPr>
  </w:style>
  <w:style w:type="paragraph" w:styleId="Heading7">
    <w:name w:val="heading 7"/>
    <w:basedOn w:val="Normal"/>
    <w:next w:val="Normal"/>
    <w:qFormat/>
    <w:rsid w:val="00E71760"/>
    <w:pPr>
      <w:keepNext/>
      <w:keepLines/>
      <w:numPr>
        <w:ilvl w:val="6"/>
        <w:numId w:val="1"/>
      </w:numPr>
      <w:spacing w:before="120"/>
      <w:outlineLvl w:val="6"/>
    </w:pPr>
    <w:rPr>
      <w:rFonts w:cs="Arial"/>
    </w:rPr>
  </w:style>
  <w:style w:type="paragraph" w:styleId="Heading8">
    <w:name w:val="heading 8"/>
    <w:basedOn w:val="Heading7"/>
    <w:next w:val="Normal"/>
    <w:qFormat/>
    <w:rsid w:val="00E71760"/>
    <w:pPr>
      <w:numPr>
        <w:ilvl w:val="7"/>
      </w:numPr>
      <w:outlineLvl w:val="7"/>
    </w:pPr>
  </w:style>
  <w:style w:type="paragraph" w:styleId="Heading9">
    <w:name w:val="heading 9"/>
    <w:basedOn w:val="Heading8"/>
    <w:next w:val="Normal"/>
    <w:qFormat/>
    <w:rsid w:val="00E7176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71760"/>
    <w:pPr>
      <w:spacing w:before="180"/>
      <w:ind w:left="2693" w:hanging="2693"/>
    </w:pPr>
    <w:rPr>
      <w:b w:val="0"/>
      <w:bCs/>
    </w:rPr>
  </w:style>
  <w:style w:type="paragraph" w:styleId="TOC1">
    <w:name w:val="toc 1"/>
    <w:aliases w:val="Observation TOC2"/>
    <w:uiPriority w:val="39"/>
    <w:rsid w:val="00E717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71760"/>
    <w:pPr>
      <w:keepNext/>
      <w:keepLines/>
      <w:spacing w:before="180"/>
      <w:jc w:val="center"/>
    </w:pPr>
  </w:style>
  <w:style w:type="paragraph" w:styleId="Caption">
    <w:name w:val="caption"/>
    <w:basedOn w:val="Normal"/>
    <w:next w:val="Normal"/>
    <w:qFormat/>
    <w:rsid w:val="00E71760"/>
    <w:pPr>
      <w:spacing w:after="240"/>
      <w:jc w:val="center"/>
    </w:pPr>
    <w:rPr>
      <w:b/>
      <w:bCs/>
    </w:rPr>
  </w:style>
  <w:style w:type="paragraph" w:styleId="TOC5">
    <w:name w:val="toc 5"/>
    <w:aliases w:val="Observation TOC"/>
    <w:basedOn w:val="TOC4"/>
    <w:semiHidden/>
    <w:rsid w:val="00E71760"/>
    <w:pPr>
      <w:tabs>
        <w:tab w:val="right" w:pos="1701"/>
      </w:tabs>
      <w:ind w:left="1701" w:hanging="1701"/>
    </w:pPr>
  </w:style>
  <w:style w:type="paragraph" w:styleId="TOC4">
    <w:name w:val="toc 4"/>
    <w:basedOn w:val="TOC3"/>
    <w:semiHidden/>
    <w:rsid w:val="00E71760"/>
    <w:pPr>
      <w:ind w:left="1418" w:hanging="1418"/>
    </w:pPr>
  </w:style>
  <w:style w:type="paragraph" w:styleId="TOC3">
    <w:name w:val="toc 3"/>
    <w:basedOn w:val="TOC2"/>
    <w:semiHidden/>
    <w:rsid w:val="00E71760"/>
    <w:pPr>
      <w:ind w:left="1134" w:hanging="1134"/>
    </w:pPr>
  </w:style>
  <w:style w:type="paragraph" w:styleId="TOC2">
    <w:name w:val="toc 2"/>
    <w:basedOn w:val="TOC1"/>
    <w:semiHidden/>
    <w:rsid w:val="00E71760"/>
    <w:pPr>
      <w:keepNext w:val="0"/>
      <w:spacing w:before="0"/>
      <w:ind w:left="851" w:hanging="851"/>
    </w:pPr>
    <w:rPr>
      <w:szCs w:val="20"/>
    </w:rPr>
  </w:style>
  <w:style w:type="paragraph" w:styleId="Index2">
    <w:name w:val="index 2"/>
    <w:basedOn w:val="Index1"/>
    <w:semiHidden/>
    <w:rsid w:val="00E71760"/>
    <w:pPr>
      <w:ind w:left="284"/>
    </w:pPr>
  </w:style>
  <w:style w:type="paragraph" w:styleId="Index1">
    <w:name w:val="index 1"/>
    <w:basedOn w:val="Normal"/>
    <w:semiHidden/>
    <w:rsid w:val="00E71760"/>
    <w:pPr>
      <w:keepLines/>
      <w:spacing w:after="0"/>
    </w:pPr>
  </w:style>
  <w:style w:type="paragraph" w:styleId="DocumentMap">
    <w:name w:val="Document Map"/>
    <w:basedOn w:val="Normal"/>
    <w:semiHidden/>
    <w:rsid w:val="00E71760"/>
    <w:pPr>
      <w:shd w:val="clear" w:color="auto" w:fill="000080"/>
    </w:pPr>
    <w:rPr>
      <w:rFonts w:ascii="Tahoma" w:hAnsi="Tahoma" w:cs="Tahoma"/>
    </w:rPr>
  </w:style>
  <w:style w:type="paragraph" w:styleId="ListNumber2">
    <w:name w:val="List Number 2"/>
    <w:basedOn w:val="ListNumber"/>
    <w:rsid w:val="00E71760"/>
    <w:pPr>
      <w:ind w:left="851"/>
    </w:pPr>
  </w:style>
  <w:style w:type="paragraph" w:styleId="ListNumber">
    <w:name w:val="List Number"/>
    <w:basedOn w:val="List"/>
    <w:rsid w:val="00E71760"/>
  </w:style>
  <w:style w:type="paragraph" w:styleId="List">
    <w:name w:val="List"/>
    <w:basedOn w:val="Normal"/>
    <w:rsid w:val="00E71760"/>
    <w:pPr>
      <w:ind w:left="568" w:hanging="284"/>
    </w:pPr>
  </w:style>
  <w:style w:type="paragraph" w:styleId="Header">
    <w:name w:val="header"/>
    <w:rsid w:val="00E717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71760"/>
    <w:rPr>
      <w:b/>
      <w:bCs/>
      <w:position w:val="6"/>
      <w:sz w:val="16"/>
      <w:szCs w:val="16"/>
    </w:rPr>
  </w:style>
  <w:style w:type="paragraph" w:styleId="FootnoteText">
    <w:name w:val="footnote text"/>
    <w:basedOn w:val="Normal"/>
    <w:semiHidden/>
    <w:rsid w:val="00E71760"/>
    <w:pPr>
      <w:keepLines/>
      <w:spacing w:after="0"/>
      <w:ind w:left="454" w:hanging="454"/>
    </w:pPr>
    <w:rPr>
      <w:sz w:val="16"/>
      <w:szCs w:val="16"/>
    </w:rPr>
  </w:style>
  <w:style w:type="paragraph" w:customStyle="1" w:styleId="3GPPHeader">
    <w:name w:val="3GPP_Header"/>
    <w:basedOn w:val="Normal"/>
    <w:rsid w:val="00E71760"/>
    <w:pPr>
      <w:tabs>
        <w:tab w:val="left" w:pos="1701"/>
        <w:tab w:val="right" w:pos="9639"/>
      </w:tabs>
      <w:spacing w:after="240"/>
    </w:pPr>
    <w:rPr>
      <w:b/>
      <w:sz w:val="24"/>
    </w:rPr>
  </w:style>
  <w:style w:type="paragraph" w:styleId="TOC9">
    <w:name w:val="toc 9"/>
    <w:basedOn w:val="TOC8"/>
    <w:semiHidden/>
    <w:rsid w:val="00E71760"/>
    <w:pPr>
      <w:ind w:left="1418" w:hanging="1418"/>
    </w:pPr>
  </w:style>
  <w:style w:type="paragraph" w:styleId="TOC6">
    <w:name w:val="toc 6"/>
    <w:basedOn w:val="TOC5"/>
    <w:next w:val="Normal"/>
    <w:semiHidden/>
    <w:rsid w:val="00E71760"/>
    <w:pPr>
      <w:ind w:left="1985" w:hanging="1985"/>
    </w:pPr>
  </w:style>
  <w:style w:type="paragraph" w:styleId="TOC7">
    <w:name w:val="toc 7"/>
    <w:basedOn w:val="TOC6"/>
    <w:next w:val="Normal"/>
    <w:semiHidden/>
    <w:rsid w:val="00E71760"/>
    <w:pPr>
      <w:ind w:left="2268" w:hanging="2268"/>
    </w:pPr>
  </w:style>
  <w:style w:type="paragraph" w:styleId="ListBullet2">
    <w:name w:val="List Bullet 2"/>
    <w:basedOn w:val="ListBullet"/>
    <w:rsid w:val="00E71760"/>
    <w:pPr>
      <w:numPr>
        <w:numId w:val="6"/>
      </w:numPr>
    </w:pPr>
  </w:style>
  <w:style w:type="paragraph" w:styleId="ListBullet">
    <w:name w:val="List Bullet"/>
    <w:basedOn w:val="BodyText"/>
    <w:rsid w:val="00E71760"/>
    <w:pPr>
      <w:numPr>
        <w:numId w:val="5"/>
      </w:numPr>
    </w:pPr>
  </w:style>
  <w:style w:type="paragraph" w:styleId="ListBullet3">
    <w:name w:val="List Bullet 3"/>
    <w:basedOn w:val="ListBullet2"/>
    <w:rsid w:val="00E71760"/>
    <w:pPr>
      <w:numPr>
        <w:numId w:val="7"/>
      </w:numPr>
    </w:pPr>
  </w:style>
  <w:style w:type="paragraph" w:customStyle="1" w:styleId="EQ">
    <w:name w:val="EQ"/>
    <w:basedOn w:val="Normal"/>
    <w:next w:val="Normal"/>
    <w:rsid w:val="00E71760"/>
    <w:pPr>
      <w:keepLines/>
      <w:tabs>
        <w:tab w:val="center" w:pos="4536"/>
        <w:tab w:val="right" w:pos="9072"/>
      </w:tabs>
      <w:spacing w:after="180"/>
      <w:jc w:val="left"/>
    </w:pPr>
    <w:rPr>
      <w:noProof/>
      <w:lang w:eastAsia="en-US"/>
    </w:rPr>
  </w:style>
  <w:style w:type="paragraph" w:styleId="List2">
    <w:name w:val="List 2"/>
    <w:basedOn w:val="List"/>
    <w:rsid w:val="00E71760"/>
    <w:pPr>
      <w:ind w:left="851"/>
    </w:pPr>
  </w:style>
  <w:style w:type="paragraph" w:styleId="List3">
    <w:name w:val="List 3"/>
    <w:basedOn w:val="List2"/>
    <w:rsid w:val="00E71760"/>
    <w:pPr>
      <w:ind w:left="1135"/>
    </w:pPr>
  </w:style>
  <w:style w:type="paragraph" w:styleId="List4">
    <w:name w:val="List 4"/>
    <w:basedOn w:val="List3"/>
    <w:rsid w:val="00E71760"/>
    <w:pPr>
      <w:ind w:left="1418"/>
    </w:pPr>
  </w:style>
  <w:style w:type="paragraph" w:styleId="List5">
    <w:name w:val="List 5"/>
    <w:basedOn w:val="List4"/>
    <w:rsid w:val="00E71760"/>
    <w:pPr>
      <w:ind w:left="1702"/>
    </w:pPr>
  </w:style>
  <w:style w:type="paragraph" w:customStyle="1" w:styleId="EditorsNote">
    <w:name w:val="Editor's Note"/>
    <w:basedOn w:val="Normal"/>
    <w:rsid w:val="00E71760"/>
    <w:pPr>
      <w:keepLines/>
      <w:spacing w:after="180"/>
      <w:ind w:left="1135" w:hanging="851"/>
      <w:jc w:val="left"/>
    </w:pPr>
    <w:rPr>
      <w:color w:val="FF0000"/>
      <w:lang w:eastAsia="en-US"/>
    </w:rPr>
  </w:style>
  <w:style w:type="paragraph" w:styleId="ListBullet4">
    <w:name w:val="List Bullet 4"/>
    <w:basedOn w:val="ListBullet3"/>
    <w:rsid w:val="00E71760"/>
    <w:pPr>
      <w:numPr>
        <w:numId w:val="8"/>
      </w:numPr>
    </w:pPr>
  </w:style>
  <w:style w:type="paragraph" w:styleId="ListBullet5">
    <w:name w:val="List Bullet 5"/>
    <w:basedOn w:val="ListBullet4"/>
    <w:rsid w:val="00E71760"/>
    <w:pPr>
      <w:numPr>
        <w:numId w:val="4"/>
      </w:numPr>
    </w:pPr>
  </w:style>
  <w:style w:type="paragraph" w:styleId="Footer">
    <w:name w:val="footer"/>
    <w:basedOn w:val="Header"/>
    <w:semiHidden/>
    <w:rsid w:val="00E71760"/>
    <w:pPr>
      <w:jc w:val="center"/>
    </w:pPr>
    <w:rPr>
      <w:i/>
      <w:iCs/>
    </w:rPr>
  </w:style>
  <w:style w:type="paragraph" w:customStyle="1" w:styleId="Reference">
    <w:name w:val="Reference"/>
    <w:basedOn w:val="Normal"/>
    <w:rsid w:val="00E71760"/>
    <w:pPr>
      <w:numPr>
        <w:numId w:val="2"/>
      </w:numPr>
    </w:pPr>
  </w:style>
  <w:style w:type="paragraph" w:styleId="BalloonText">
    <w:name w:val="Balloon Text"/>
    <w:basedOn w:val="Normal"/>
    <w:semiHidden/>
    <w:rsid w:val="00E71760"/>
    <w:rPr>
      <w:rFonts w:ascii="Tahoma" w:hAnsi="Tahoma" w:cs="Tahoma"/>
      <w:sz w:val="16"/>
      <w:szCs w:val="16"/>
    </w:rPr>
  </w:style>
  <w:style w:type="character" w:styleId="PageNumber">
    <w:name w:val="page number"/>
    <w:basedOn w:val="DefaultParagraphFont"/>
    <w:semiHidden/>
    <w:rsid w:val="00E71760"/>
  </w:style>
  <w:style w:type="paragraph" w:styleId="BodyText">
    <w:name w:val="Body Text"/>
    <w:basedOn w:val="Normal"/>
    <w:link w:val="BodyTextChar"/>
    <w:rsid w:val="00E71760"/>
  </w:style>
  <w:style w:type="character" w:styleId="Hyperlink">
    <w:name w:val="Hyperlink"/>
    <w:uiPriority w:val="99"/>
    <w:rsid w:val="00E71760"/>
    <w:rPr>
      <w:color w:val="0000FF"/>
      <w:u w:val="single"/>
      <w:lang w:val="en-GB"/>
    </w:rPr>
  </w:style>
  <w:style w:type="character" w:styleId="FollowedHyperlink">
    <w:name w:val="FollowedHyperlink"/>
    <w:semiHidden/>
    <w:rsid w:val="00E71760"/>
    <w:rPr>
      <w:color w:val="FF0000"/>
      <w:u w:val="single"/>
    </w:rPr>
  </w:style>
  <w:style w:type="character" w:styleId="CommentReference">
    <w:name w:val="annotation reference"/>
    <w:semiHidden/>
    <w:rsid w:val="00E71760"/>
    <w:rPr>
      <w:sz w:val="16"/>
      <w:szCs w:val="16"/>
    </w:rPr>
  </w:style>
  <w:style w:type="paragraph" w:styleId="CommentText">
    <w:name w:val="annotation text"/>
    <w:basedOn w:val="Normal"/>
    <w:semiHidden/>
    <w:rsid w:val="00E71760"/>
  </w:style>
  <w:style w:type="paragraph" w:styleId="CommentSubject">
    <w:name w:val="annotation subject"/>
    <w:basedOn w:val="CommentText"/>
    <w:next w:val="CommentText"/>
    <w:semiHidden/>
    <w:rsid w:val="00E71760"/>
    <w:rPr>
      <w:b/>
      <w:bCs/>
    </w:rPr>
  </w:style>
  <w:style w:type="character" w:customStyle="1" w:styleId="Heading1Char">
    <w:name w:val="Heading 1 Char"/>
    <w:link w:val="Heading1"/>
    <w:rsid w:val="00E71760"/>
    <w:rPr>
      <w:rFonts w:ascii="Arial" w:hAnsi="Arial" w:cs="Arial"/>
      <w:sz w:val="36"/>
      <w:szCs w:val="36"/>
      <w:lang w:val="en-GB" w:eastAsia="zh-CN"/>
    </w:rPr>
  </w:style>
  <w:style w:type="paragraph" w:customStyle="1" w:styleId="B1">
    <w:name w:val="B1"/>
    <w:basedOn w:val="List"/>
    <w:rsid w:val="00E71760"/>
    <w:pPr>
      <w:spacing w:after="180"/>
      <w:jc w:val="left"/>
    </w:pPr>
    <w:rPr>
      <w:lang w:eastAsia="en-US"/>
    </w:rPr>
  </w:style>
  <w:style w:type="paragraph" w:customStyle="1" w:styleId="B2">
    <w:name w:val="B2"/>
    <w:basedOn w:val="List2"/>
    <w:rsid w:val="00E71760"/>
    <w:pPr>
      <w:spacing w:after="180"/>
      <w:jc w:val="left"/>
    </w:pPr>
    <w:rPr>
      <w:lang w:eastAsia="en-US"/>
    </w:rPr>
  </w:style>
  <w:style w:type="paragraph" w:customStyle="1" w:styleId="B3">
    <w:name w:val="B3"/>
    <w:basedOn w:val="List3"/>
    <w:rsid w:val="00E71760"/>
    <w:pPr>
      <w:spacing w:after="180"/>
      <w:jc w:val="left"/>
    </w:pPr>
    <w:rPr>
      <w:lang w:eastAsia="en-US"/>
    </w:rPr>
  </w:style>
  <w:style w:type="paragraph" w:customStyle="1" w:styleId="B4">
    <w:name w:val="B4"/>
    <w:basedOn w:val="List4"/>
    <w:rsid w:val="00E71760"/>
    <w:pPr>
      <w:spacing w:after="180"/>
      <w:jc w:val="left"/>
    </w:pPr>
    <w:rPr>
      <w:lang w:eastAsia="en-US"/>
    </w:rPr>
  </w:style>
  <w:style w:type="paragraph" w:customStyle="1" w:styleId="Proposal">
    <w:name w:val="Proposal"/>
    <w:basedOn w:val="Normal"/>
    <w:rsid w:val="00E71760"/>
    <w:pPr>
      <w:numPr>
        <w:numId w:val="3"/>
      </w:numPr>
      <w:tabs>
        <w:tab w:val="clear" w:pos="1304"/>
        <w:tab w:val="left" w:pos="1701"/>
      </w:tabs>
      <w:ind w:left="1701" w:hanging="1701"/>
    </w:pPr>
    <w:rPr>
      <w:b/>
      <w:bCs/>
    </w:rPr>
  </w:style>
  <w:style w:type="character" w:customStyle="1" w:styleId="BodyTextChar">
    <w:name w:val="Body Text Char"/>
    <w:link w:val="BodyText"/>
    <w:rsid w:val="00E71760"/>
    <w:rPr>
      <w:rFonts w:ascii="Arial" w:hAnsi="Arial"/>
      <w:lang w:val="en-GB" w:eastAsia="zh-CN"/>
    </w:rPr>
  </w:style>
  <w:style w:type="paragraph" w:customStyle="1" w:styleId="B5">
    <w:name w:val="B5"/>
    <w:basedOn w:val="List5"/>
    <w:rsid w:val="00E71760"/>
    <w:pPr>
      <w:spacing w:after="180"/>
      <w:jc w:val="left"/>
    </w:pPr>
    <w:rPr>
      <w:lang w:eastAsia="en-US"/>
    </w:rPr>
  </w:style>
  <w:style w:type="paragraph" w:customStyle="1" w:styleId="EX">
    <w:name w:val="EX"/>
    <w:basedOn w:val="Normal"/>
    <w:rsid w:val="00E71760"/>
    <w:pPr>
      <w:keepLines/>
      <w:spacing w:after="180"/>
      <w:ind w:left="1702" w:hanging="1418"/>
      <w:jc w:val="left"/>
    </w:pPr>
    <w:rPr>
      <w:lang w:eastAsia="en-US"/>
    </w:rPr>
  </w:style>
  <w:style w:type="paragraph" w:customStyle="1" w:styleId="EW">
    <w:name w:val="EW"/>
    <w:basedOn w:val="EX"/>
    <w:rsid w:val="00E71760"/>
    <w:pPr>
      <w:spacing w:after="0"/>
    </w:pPr>
  </w:style>
  <w:style w:type="paragraph" w:customStyle="1" w:styleId="TAL">
    <w:name w:val="TAL"/>
    <w:basedOn w:val="Normal"/>
    <w:rsid w:val="00E71760"/>
    <w:pPr>
      <w:keepNext/>
      <w:keepLines/>
      <w:spacing w:after="0"/>
      <w:jc w:val="left"/>
    </w:pPr>
    <w:rPr>
      <w:sz w:val="18"/>
      <w:lang w:eastAsia="en-US"/>
    </w:rPr>
  </w:style>
  <w:style w:type="paragraph" w:customStyle="1" w:styleId="TAC">
    <w:name w:val="TAC"/>
    <w:basedOn w:val="TAL"/>
    <w:rsid w:val="00E71760"/>
    <w:pPr>
      <w:jc w:val="center"/>
    </w:pPr>
  </w:style>
  <w:style w:type="paragraph" w:customStyle="1" w:styleId="TAH">
    <w:name w:val="TAH"/>
    <w:basedOn w:val="TAC"/>
    <w:rsid w:val="00E71760"/>
    <w:rPr>
      <w:b/>
    </w:rPr>
  </w:style>
  <w:style w:type="paragraph" w:customStyle="1" w:styleId="TAN">
    <w:name w:val="TAN"/>
    <w:basedOn w:val="TAL"/>
    <w:rsid w:val="00E71760"/>
    <w:pPr>
      <w:ind w:left="851" w:hanging="851"/>
    </w:pPr>
  </w:style>
  <w:style w:type="paragraph" w:customStyle="1" w:styleId="TAR">
    <w:name w:val="TAR"/>
    <w:basedOn w:val="TAL"/>
    <w:rsid w:val="00E71760"/>
    <w:pPr>
      <w:jc w:val="right"/>
    </w:pPr>
  </w:style>
  <w:style w:type="paragraph" w:customStyle="1" w:styleId="TH">
    <w:name w:val="TH"/>
    <w:basedOn w:val="Normal"/>
    <w:link w:val="THChar"/>
    <w:rsid w:val="00E71760"/>
    <w:pPr>
      <w:keepNext/>
      <w:keepLines/>
      <w:spacing w:before="60" w:after="180"/>
      <w:jc w:val="center"/>
    </w:pPr>
    <w:rPr>
      <w:b/>
      <w:lang w:eastAsia="en-US"/>
    </w:rPr>
  </w:style>
  <w:style w:type="paragraph" w:customStyle="1" w:styleId="TF">
    <w:name w:val="TF"/>
    <w:basedOn w:val="TH"/>
    <w:link w:val="TFChar"/>
    <w:rsid w:val="00E71760"/>
    <w:pPr>
      <w:keepNext w:val="0"/>
      <w:spacing w:before="0" w:after="240"/>
    </w:pPr>
  </w:style>
  <w:style w:type="paragraph" w:customStyle="1" w:styleId="TT">
    <w:name w:val="TT"/>
    <w:basedOn w:val="Heading1"/>
    <w:next w:val="Normal"/>
    <w:rsid w:val="00E71760"/>
    <w:pPr>
      <w:numPr>
        <w:numId w:val="0"/>
      </w:numPr>
      <w:ind w:left="1134" w:hanging="1134"/>
      <w:outlineLvl w:val="9"/>
    </w:pPr>
    <w:rPr>
      <w:rFonts w:cs="Times New Roman"/>
      <w:szCs w:val="20"/>
      <w:lang w:eastAsia="en-US"/>
    </w:rPr>
  </w:style>
  <w:style w:type="paragraph" w:customStyle="1" w:styleId="ZA">
    <w:name w:val="ZA"/>
    <w:rsid w:val="00E717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717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717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717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71760"/>
  </w:style>
  <w:style w:type="paragraph" w:customStyle="1" w:styleId="ZH">
    <w:name w:val="ZH"/>
    <w:rsid w:val="00E717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717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71760"/>
    <w:pPr>
      <w:framePr w:hRule="auto" w:wrap="notBeside" w:y="852"/>
    </w:pPr>
    <w:rPr>
      <w:i w:val="0"/>
      <w:sz w:val="40"/>
    </w:rPr>
  </w:style>
  <w:style w:type="paragraph" w:customStyle="1" w:styleId="ZU">
    <w:name w:val="ZU"/>
    <w:rsid w:val="00E717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71760"/>
    <w:pPr>
      <w:framePr w:wrap="notBeside" w:y="16161"/>
    </w:pPr>
  </w:style>
  <w:style w:type="paragraph" w:customStyle="1" w:styleId="FP">
    <w:name w:val="FP"/>
    <w:basedOn w:val="Normal"/>
    <w:rsid w:val="00E71760"/>
    <w:pPr>
      <w:spacing w:after="0"/>
      <w:jc w:val="left"/>
    </w:pPr>
    <w:rPr>
      <w:lang w:eastAsia="en-US"/>
    </w:rPr>
  </w:style>
  <w:style w:type="paragraph" w:customStyle="1" w:styleId="Observation">
    <w:name w:val="Observation"/>
    <w:basedOn w:val="Proposal"/>
    <w:qFormat/>
    <w:rsid w:val="00E71760"/>
    <w:pPr>
      <w:numPr>
        <w:numId w:val="13"/>
      </w:numPr>
      <w:ind w:left="1701" w:hanging="1701"/>
    </w:pPr>
  </w:style>
  <w:style w:type="paragraph" w:styleId="TableofFigures">
    <w:name w:val="table of figures"/>
    <w:basedOn w:val="Normal"/>
    <w:next w:val="Normal"/>
    <w:uiPriority w:val="99"/>
    <w:rsid w:val="00E71760"/>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uiPriority w:val="34"/>
    <w:qFormat/>
    <w:rsid w:val="000D0280"/>
    <w:pPr>
      <w:ind w:left="720"/>
      <w:contextualSpacing/>
    </w:pPr>
  </w:style>
  <w:style w:type="character" w:customStyle="1" w:styleId="THChar">
    <w:name w:val="TH Char"/>
    <w:link w:val="TH"/>
    <w:rsid w:val="0050385E"/>
    <w:rPr>
      <w:rFonts w:ascii="Arial" w:hAnsi="Arial"/>
      <w:b/>
      <w:lang w:val="en-GB"/>
    </w:rPr>
  </w:style>
  <w:style w:type="paragraph" w:customStyle="1" w:styleId="FigureTitle">
    <w:name w:val="Figure_Title"/>
    <w:basedOn w:val="Normal"/>
    <w:next w:val="Normal"/>
    <w:rsid w:val="0050385E"/>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character" w:customStyle="1" w:styleId="TFChar">
    <w:name w:val="TF Char"/>
    <w:link w:val="TF"/>
    <w:rsid w:val="004B7120"/>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1651405">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5NUHHDQN7SK2-1-114856</_dlc_DocId>
    <_dlc_DocIdUrl xmlns="08b2df90-05d3-4030-90d4-c9feeb4a1cd9">
      <Url>https://ericoll.internal.ericsson.com/sites/STAR/_layouts/DocIdRedir.aspx?ID=5NUHHDQN7SK2-1-114856</Url>
      <Description>5NUHHDQN7SK2-1-114856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file>

<file path=customXml/itemProps2.xml><?xml version="1.0" encoding="utf-8"?>
<ds:datastoreItem xmlns:ds="http://schemas.openxmlformats.org/officeDocument/2006/customXml" ds:itemID="{F95D044E-DEF4-44A0-9715-94CD62B64AD4}"/>
</file>

<file path=customXml/itemProps3.xml><?xml version="1.0" encoding="utf-8"?>
<ds:datastoreItem xmlns:ds="http://schemas.openxmlformats.org/officeDocument/2006/customXml" ds:itemID="{A6ADDEA9-6B92-4E8E-BF1A-BE0E057DD172}"/>
</file>

<file path=customXml/itemProps4.xml><?xml version="1.0" encoding="utf-8"?>
<ds:datastoreItem xmlns:ds="http://schemas.openxmlformats.org/officeDocument/2006/customXml" ds:itemID="{9F5946CB-8946-499C-8B44-7DE1A592D1D0}"/>
</file>

<file path=customXml/itemProps5.xml><?xml version="1.0" encoding="utf-8"?>
<ds:datastoreItem xmlns:ds="http://schemas.openxmlformats.org/officeDocument/2006/customXml" ds:itemID="{BEE23EE5-5864-4ADF-A848-295F30FA12F3}"/>
</file>

<file path=customXml/itemProps6.xml><?xml version="1.0" encoding="utf-8"?>
<ds:datastoreItem xmlns:ds="http://schemas.openxmlformats.org/officeDocument/2006/customXml" ds:itemID="{9B36E9F0-9DBD-40EA-AED0-3F87E0FBAA56}"/>
</file>

<file path=customXml/itemProps7.xml><?xml version="1.0" encoding="utf-8"?>
<ds:datastoreItem xmlns:ds="http://schemas.openxmlformats.org/officeDocument/2006/customXml" ds:itemID="{FE899A64-19BB-44D9-9B9E-6439F9BF64EC}"/>
</file>

<file path=docProps/app.xml><?xml version="1.0" encoding="utf-8"?>
<Properties xmlns="http://schemas.openxmlformats.org/officeDocument/2006/extended-properties" xmlns:vt="http://schemas.openxmlformats.org/officeDocument/2006/docPropsVTypes">
  <Template>R2-15xxxx - Contribution template</Template>
  <TotalTime>969</TotalTime>
  <Pages>5</Pages>
  <Words>1230</Words>
  <Characters>9963</Characters>
  <Application>Microsoft Office Word</Application>
  <DocSecurity>0</DocSecurity>
  <Lines>83</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Stefan Wager</cp:lastModifiedBy>
  <cp:revision>20</cp:revision>
  <cp:lastPrinted>2008-01-31T16:09:00Z</cp:lastPrinted>
  <dcterms:created xsi:type="dcterms:W3CDTF">2017-03-14T13:57:00Z</dcterms:created>
  <dcterms:modified xsi:type="dcterms:W3CDTF">2017-03-24T23:42:00Z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3ff7d5ed-0299-468e-a042-efae9d025536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